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80096" w14:textId="708CCCBA" w:rsidR="00A533B5" w:rsidRPr="008E3A37" w:rsidRDefault="00BA60E6" w:rsidP="00BA60E6">
      <w:pPr>
        <w:jc w:val="right"/>
        <w:rPr>
          <w:rFonts w:ascii="Arial" w:hAnsi="Arial" w:cs="Arial"/>
          <w:sz w:val="16"/>
          <w:szCs w:val="16"/>
        </w:rPr>
      </w:pPr>
      <w:r w:rsidRPr="008E3A37">
        <w:rPr>
          <w:rFonts w:ascii="Arial" w:hAnsi="Arial" w:cs="Arial"/>
          <w:sz w:val="16"/>
          <w:szCs w:val="16"/>
        </w:rPr>
        <w:t>Bio 13 Fachlehrplan plus / Nickl 11.202</w:t>
      </w:r>
      <w:r w:rsidR="003E1007">
        <w:rPr>
          <w:rFonts w:ascii="Arial" w:hAnsi="Arial" w:cs="Arial"/>
          <w:sz w:val="16"/>
          <w:szCs w:val="16"/>
        </w:rPr>
        <w:t>4</w:t>
      </w:r>
    </w:p>
    <w:p w14:paraId="3DBB1FE1" w14:textId="0F5D3614" w:rsidR="00BA60E6" w:rsidRPr="008E3A37" w:rsidRDefault="00BA60E6" w:rsidP="00BA60E6">
      <w:pPr>
        <w:rPr>
          <w:rFonts w:ascii="Arial" w:hAnsi="Arial" w:cs="Arial"/>
        </w:rPr>
      </w:pPr>
      <w:r w:rsidRPr="008E3A37">
        <w:rPr>
          <w:rFonts w:ascii="Arial" w:hAnsi="Arial" w:cs="Arial"/>
          <w:sz w:val="20"/>
          <w:szCs w:val="20"/>
        </w:rPr>
        <w:t>www.</w:t>
      </w:r>
      <w:r w:rsidRPr="008E3A37">
        <w:rPr>
          <w:rFonts w:ascii="Arial" w:hAnsi="Arial" w:cs="Arial"/>
          <w:b/>
          <w:bCs/>
          <w:sz w:val="20"/>
          <w:szCs w:val="20"/>
        </w:rPr>
        <w:t>lehrplanplus.bayern</w:t>
      </w:r>
      <w:r w:rsidRPr="008E3A37">
        <w:rPr>
          <w:rFonts w:ascii="Arial" w:hAnsi="Arial" w:cs="Arial"/>
          <w:sz w:val="20"/>
          <w:szCs w:val="20"/>
        </w:rPr>
        <w:t>.de</w:t>
      </w:r>
      <w:r w:rsidRPr="008E3A37">
        <w:rPr>
          <w:rFonts w:ascii="Arial" w:hAnsi="Arial" w:cs="Arial"/>
        </w:rPr>
        <w:tab/>
      </w:r>
      <w:r w:rsidRPr="008E3A37">
        <w:rPr>
          <w:rFonts w:ascii="Arial" w:hAnsi="Arial" w:cs="Arial"/>
        </w:rPr>
        <w:tab/>
      </w:r>
      <w:r w:rsidRPr="008E3A37">
        <w:rPr>
          <w:rFonts w:ascii="Arial" w:hAnsi="Arial" w:cs="Arial"/>
        </w:rPr>
        <w:tab/>
        <w:t xml:space="preserve">       </w:t>
      </w:r>
      <w:r w:rsidRPr="008E3A37">
        <w:rPr>
          <w:rFonts w:ascii="Arial" w:hAnsi="Arial" w:cs="Arial"/>
          <w:b/>
          <w:bCs/>
          <w:sz w:val="32"/>
          <w:szCs w:val="32"/>
        </w:rPr>
        <w:t>Fachlehrplan Biologie Jgst. 13</w:t>
      </w:r>
    </w:p>
    <w:p w14:paraId="2442395A" w14:textId="1B9EFC8D" w:rsidR="00BA60E6" w:rsidRPr="008E3A37" w:rsidRDefault="00BA60E6" w:rsidP="00BA60E6">
      <w:pPr>
        <w:rPr>
          <w:rFonts w:ascii="Arial" w:hAnsi="Arial" w:cs="Arial"/>
        </w:rPr>
      </w:pPr>
    </w:p>
    <w:tbl>
      <w:tblPr>
        <w:tblStyle w:val="Tabellenraster"/>
        <w:tblW w:w="0" w:type="auto"/>
        <w:tblCellMar>
          <w:top w:w="113" w:type="dxa"/>
          <w:bottom w:w="113" w:type="dxa"/>
        </w:tblCellMar>
        <w:tblLook w:val="04A0" w:firstRow="1" w:lastRow="0" w:firstColumn="1" w:lastColumn="0" w:noHBand="0" w:noVBand="1"/>
      </w:tblPr>
      <w:tblGrid>
        <w:gridCol w:w="7280"/>
        <w:gridCol w:w="7280"/>
      </w:tblGrid>
      <w:tr w:rsidR="00BA60E6" w:rsidRPr="008E3A37" w14:paraId="44E8628A" w14:textId="77777777" w:rsidTr="00BA60E6">
        <w:tc>
          <w:tcPr>
            <w:tcW w:w="14560" w:type="dxa"/>
            <w:gridSpan w:val="2"/>
            <w:shd w:val="clear" w:color="auto" w:fill="FFC000"/>
          </w:tcPr>
          <w:p w14:paraId="16DD5A92" w14:textId="05B5FE92" w:rsidR="00BA60E6" w:rsidRPr="008E3A37" w:rsidRDefault="00BA60E6" w:rsidP="00BA60E6">
            <w:pPr>
              <w:rPr>
                <w:rFonts w:ascii="Arial" w:hAnsi="Arial" w:cs="Arial"/>
                <w:b/>
                <w:bCs/>
                <w:sz w:val="28"/>
                <w:szCs w:val="28"/>
              </w:rPr>
            </w:pPr>
            <w:r w:rsidRPr="008E3A37">
              <w:rPr>
                <w:rFonts w:ascii="Arial" w:hAnsi="Arial" w:cs="Arial"/>
                <w:b/>
                <w:bCs/>
                <w:sz w:val="28"/>
                <w:szCs w:val="28"/>
              </w:rPr>
              <w:t>HINWEISE:</w:t>
            </w:r>
          </w:p>
        </w:tc>
      </w:tr>
      <w:tr w:rsidR="00BA60E6" w:rsidRPr="008E3A37" w14:paraId="379E11A0" w14:textId="77777777" w:rsidTr="00CA3952">
        <w:tc>
          <w:tcPr>
            <w:tcW w:w="7280" w:type="dxa"/>
            <w:shd w:val="clear" w:color="auto" w:fill="FFFFCC"/>
          </w:tcPr>
          <w:p w14:paraId="1D87DB7B" w14:textId="0FFD82B9" w:rsidR="00BA60E6" w:rsidRPr="008E3A37" w:rsidRDefault="0002387D" w:rsidP="00BA60E6">
            <w:pPr>
              <w:rPr>
                <w:rFonts w:ascii="Arial" w:hAnsi="Arial" w:cs="Arial"/>
              </w:rPr>
            </w:pPr>
            <w:r w:rsidRPr="008E3A37">
              <w:rPr>
                <w:rStyle w:val="HTMLZitat"/>
                <w:rFonts w:ascii="Arial" w:hAnsi="Arial" w:cs="Arial"/>
                <w:bCs/>
                <w:i w:val="0"/>
                <w:sz w:val="20"/>
                <w:szCs w:val="20"/>
              </w:rPr>
              <w:t>Bei „Inhalte zu den Kompetenzen“ aufgeführte Fachbegriffe sind Lernstoff für den Schüler.</w:t>
            </w:r>
          </w:p>
        </w:tc>
        <w:tc>
          <w:tcPr>
            <w:tcW w:w="7280" w:type="dxa"/>
            <w:shd w:val="clear" w:color="auto" w:fill="CCCCFF"/>
          </w:tcPr>
          <w:p w14:paraId="22191742" w14:textId="3B4E9BD2" w:rsidR="00BA60E6" w:rsidRPr="008E3A37" w:rsidRDefault="0002387D" w:rsidP="00BA60E6">
            <w:pPr>
              <w:rPr>
                <w:rFonts w:ascii="Arial" w:hAnsi="Arial" w:cs="Arial"/>
              </w:rPr>
            </w:pPr>
            <w:r w:rsidRPr="008E3A37">
              <w:rPr>
                <w:rStyle w:val="HTMLZitat"/>
                <w:rFonts w:ascii="Arial" w:hAnsi="Arial" w:cs="Arial"/>
                <w:bCs/>
                <w:i w:val="0"/>
                <w:sz w:val="20"/>
                <w:szCs w:val="20"/>
              </w:rPr>
              <w:t>Weitere bei „Kompetenzerwartungen“ aufgeführte Fachbegriffe richten sich nur an die Lehrkraft und sind kein Lernstoff für den Schüler.</w:t>
            </w:r>
          </w:p>
        </w:tc>
      </w:tr>
      <w:tr w:rsidR="00BA60E6" w:rsidRPr="008E3A37" w14:paraId="77CFA077" w14:textId="77777777" w:rsidTr="00BA60E6">
        <w:tc>
          <w:tcPr>
            <w:tcW w:w="14560" w:type="dxa"/>
            <w:gridSpan w:val="2"/>
          </w:tcPr>
          <w:p w14:paraId="2F20AACB" w14:textId="77777777" w:rsidR="0002387D" w:rsidRPr="008E3A37" w:rsidRDefault="0002387D" w:rsidP="0002387D">
            <w:pPr>
              <w:pStyle w:val="KeinLeerraum"/>
              <w:spacing w:after="120"/>
              <w:jc w:val="both"/>
              <w:rPr>
                <w:rStyle w:val="HTMLZitat"/>
                <w:rFonts w:ascii="Arial" w:hAnsi="Arial" w:cs="Arial"/>
                <w:bCs/>
                <w:i w:val="0"/>
                <w:sz w:val="20"/>
                <w:szCs w:val="20"/>
              </w:rPr>
            </w:pPr>
            <w:r w:rsidRPr="008E3A37">
              <w:rPr>
                <w:rStyle w:val="HTMLZitat"/>
                <w:rFonts w:ascii="Arial" w:hAnsi="Arial" w:cs="Arial"/>
                <w:bCs/>
                <w:i w:val="0"/>
                <w:sz w:val="20"/>
                <w:szCs w:val="20"/>
              </w:rPr>
              <w:t xml:space="preserve">In der Kursphase wird unterschieden zwischen dem 3-stündigen Kurs mit </w:t>
            </w:r>
            <w:r w:rsidRPr="008E3A37">
              <w:rPr>
                <w:rStyle w:val="HTMLZitat"/>
                <w:rFonts w:ascii="Arial" w:hAnsi="Arial" w:cs="Arial"/>
                <w:b/>
                <w:i w:val="0"/>
                <w:sz w:val="20"/>
                <w:szCs w:val="20"/>
              </w:rPr>
              <w:t>grundlegenden Anforderungsniveau (gA)</w:t>
            </w:r>
            <w:r w:rsidRPr="008E3A37">
              <w:rPr>
                <w:rStyle w:val="HTMLZitat"/>
                <w:rFonts w:ascii="Arial" w:hAnsi="Arial" w:cs="Arial"/>
                <w:bCs/>
                <w:i w:val="0"/>
                <w:sz w:val="20"/>
                <w:szCs w:val="20"/>
              </w:rPr>
              <w:t xml:space="preserve"> und dem 5-stündigen Kurs mit </w:t>
            </w:r>
            <w:r w:rsidRPr="008E3A37">
              <w:rPr>
                <w:rStyle w:val="HTMLZitat"/>
                <w:rFonts w:ascii="Arial" w:hAnsi="Arial" w:cs="Arial"/>
                <w:b/>
                <w:i w:val="0"/>
                <w:sz w:val="20"/>
                <w:szCs w:val="20"/>
              </w:rPr>
              <w:t>erweitertem Anforderungsniveau (eA)</w:t>
            </w:r>
            <w:r w:rsidRPr="008E3A37">
              <w:rPr>
                <w:rStyle w:val="HTMLZitat"/>
                <w:rFonts w:ascii="Arial" w:hAnsi="Arial" w:cs="Arial"/>
                <w:bCs/>
                <w:i w:val="0"/>
                <w:sz w:val="20"/>
                <w:szCs w:val="20"/>
              </w:rPr>
              <w:t xml:space="preserve">. Der komplette LehrplanPLUS-Text zum gA-Kurs findet sich auch im Text zum eA-Kurs, der zusätzlich noch weitere Kompetenzen sowie Inhalte zu Kompetenzen enthält. Im folgenden Skript sind die gemeinsamen Textteile in </w:t>
            </w:r>
            <w:r w:rsidRPr="008E3A37">
              <w:rPr>
                <w:rStyle w:val="HTMLZitat"/>
                <w:rFonts w:ascii="Arial" w:hAnsi="Arial" w:cs="Arial"/>
                <w:b/>
                <w:i w:val="0"/>
                <w:sz w:val="20"/>
                <w:szCs w:val="20"/>
              </w:rPr>
              <w:t>Schwarz</w:t>
            </w:r>
            <w:r w:rsidRPr="008E3A37">
              <w:rPr>
                <w:rStyle w:val="HTMLZitat"/>
                <w:rFonts w:ascii="Arial" w:hAnsi="Arial" w:cs="Arial"/>
                <w:bCs/>
                <w:i w:val="0"/>
                <w:sz w:val="20"/>
                <w:szCs w:val="20"/>
              </w:rPr>
              <w:t>, die Textteile, die nur für den eA-Kurs gelten, dagegen in</w:t>
            </w:r>
            <w:r w:rsidRPr="008E3A37">
              <w:rPr>
                <w:rStyle w:val="HTMLZitat"/>
                <w:rFonts w:ascii="Arial" w:hAnsi="Arial" w:cs="Arial"/>
                <w:b/>
                <w:i w:val="0"/>
                <w:sz w:val="20"/>
                <w:szCs w:val="20"/>
              </w:rPr>
              <w:t xml:space="preserve"> </w:t>
            </w:r>
            <w:r w:rsidRPr="008E3A37">
              <w:rPr>
                <w:rStyle w:val="HTMLZitat"/>
                <w:rFonts w:ascii="Arial" w:hAnsi="Arial" w:cs="Arial"/>
                <w:b/>
                <w:i w:val="0"/>
                <w:color w:val="0000FF"/>
                <w:sz w:val="20"/>
                <w:szCs w:val="20"/>
              </w:rPr>
              <w:t>Blau</w:t>
            </w:r>
            <w:r w:rsidRPr="008E3A37">
              <w:rPr>
                <w:rStyle w:val="HTMLZitat"/>
                <w:rFonts w:ascii="Arial" w:hAnsi="Arial" w:cs="Arial"/>
                <w:bCs/>
                <w:i w:val="0"/>
                <w:sz w:val="20"/>
                <w:szCs w:val="20"/>
              </w:rPr>
              <w:t xml:space="preserve"> gehalten.</w:t>
            </w:r>
          </w:p>
          <w:p w14:paraId="4616E803" w14:textId="5EACBA5E" w:rsidR="00BA60E6" w:rsidRPr="008E3A37" w:rsidRDefault="00FF45A9" w:rsidP="0002387D">
            <w:pPr>
              <w:rPr>
                <w:rFonts w:ascii="Arial" w:hAnsi="Arial" w:cs="Arial"/>
              </w:rPr>
            </w:pPr>
            <w:r w:rsidRPr="00D4177B">
              <w:rPr>
                <w:rStyle w:val="HTMLZitat"/>
                <w:rFonts w:ascii="Arial" w:hAnsi="Arial" w:cs="Arial"/>
                <w:bCs/>
                <w:i w:val="0"/>
                <w:sz w:val="20"/>
                <w:szCs w:val="20"/>
              </w:rPr>
              <w:t xml:space="preserve">Entsprechend unterscheiden sich die </w:t>
            </w:r>
            <w:r>
              <w:rPr>
                <w:rStyle w:val="HTMLZitat"/>
                <w:rFonts w:ascii="Arial" w:hAnsi="Arial" w:cs="Arial"/>
                <w:bCs/>
                <w:i w:val="0"/>
                <w:sz w:val="20"/>
                <w:szCs w:val="20"/>
              </w:rPr>
              <w:t xml:space="preserve">im LehrplanPLUS </w:t>
            </w:r>
            <w:r w:rsidRPr="00D4177B">
              <w:rPr>
                <w:rStyle w:val="HTMLZitat"/>
                <w:rFonts w:ascii="Arial" w:hAnsi="Arial" w:cs="Arial"/>
                <w:bCs/>
                <w:i w:val="0"/>
                <w:sz w:val="20"/>
                <w:szCs w:val="20"/>
              </w:rPr>
              <w:t xml:space="preserve">empfohlenen </w:t>
            </w:r>
            <w:r w:rsidRPr="00011354">
              <w:rPr>
                <w:rStyle w:val="HTMLZitat"/>
                <w:rFonts w:ascii="Arial" w:hAnsi="Arial" w:cs="Arial"/>
                <w:b/>
                <w:i w:val="0"/>
                <w:sz w:val="20"/>
                <w:szCs w:val="20"/>
              </w:rPr>
              <w:t>Stundenzahlen</w:t>
            </w:r>
            <w:r w:rsidRPr="00D4177B">
              <w:rPr>
                <w:rStyle w:val="HTMLZitat"/>
                <w:rFonts w:ascii="Arial" w:hAnsi="Arial" w:cs="Arial"/>
                <w:bCs/>
                <w:i w:val="0"/>
                <w:sz w:val="20"/>
                <w:szCs w:val="20"/>
              </w:rPr>
              <w:t xml:space="preserve">. Sie werden in den Kopfzeilen jeweils mit </w:t>
            </w:r>
            <w:r>
              <w:rPr>
                <w:rStyle w:val="HTMLZitat"/>
                <w:rFonts w:ascii="Arial" w:hAnsi="Arial" w:cs="Arial"/>
                <w:bCs/>
                <w:i w:val="0"/>
                <w:sz w:val="20"/>
                <w:szCs w:val="20"/>
              </w:rPr>
              <w:t>e</w:t>
            </w:r>
            <w:r w:rsidRPr="00D4177B">
              <w:rPr>
                <w:rStyle w:val="HTMLZitat"/>
                <w:rFonts w:ascii="Arial" w:hAnsi="Arial" w:cs="Arial"/>
                <w:bCs/>
                <w:i w:val="0"/>
                <w:sz w:val="20"/>
                <w:szCs w:val="20"/>
              </w:rPr>
              <w:t xml:space="preserve">A bzw. </w:t>
            </w:r>
            <w:r>
              <w:rPr>
                <w:rStyle w:val="HTMLZitat"/>
                <w:rFonts w:ascii="Arial" w:hAnsi="Arial" w:cs="Arial"/>
                <w:bCs/>
                <w:i w:val="0"/>
                <w:sz w:val="20"/>
                <w:szCs w:val="20"/>
              </w:rPr>
              <w:t>g</w:t>
            </w:r>
            <w:r w:rsidRPr="00D4177B">
              <w:rPr>
                <w:rStyle w:val="HTMLZitat"/>
                <w:rFonts w:ascii="Arial" w:hAnsi="Arial" w:cs="Arial"/>
                <w:bCs/>
                <w:i w:val="0"/>
                <w:sz w:val="20"/>
                <w:szCs w:val="20"/>
              </w:rPr>
              <w:t>A gekennzeichnet.</w:t>
            </w:r>
            <w:r>
              <w:rPr>
                <w:rStyle w:val="HTMLZitat"/>
                <w:rFonts w:ascii="Arial" w:hAnsi="Arial" w:cs="Arial"/>
                <w:bCs/>
                <w:i w:val="0"/>
                <w:sz w:val="20"/>
                <w:szCs w:val="20"/>
              </w:rPr>
              <w:t xml:space="preserve"> Im Kurs mit gA ist die Unterrichtszeit etwa so knapp bemessen wie in der Oberstufe im G8, aber im Kurs mit eA ist vergleichsweise viel Zeit für Übungsaufgaben, Diskussionen zur gesellschaftlichen Bewertung usw. berücksichtigt. Deshalb kann für die </w:t>
            </w:r>
            <w:r w:rsidRPr="00624F24">
              <w:rPr>
                <w:rStyle w:val="HTMLZitat"/>
                <w:rFonts w:ascii="Arial" w:hAnsi="Arial" w:cs="Arial"/>
                <w:bCs/>
                <w:i w:val="0"/>
                <w:sz w:val="20"/>
                <w:szCs w:val="20"/>
                <w:u w:val="single"/>
              </w:rPr>
              <w:t>selben</w:t>
            </w:r>
            <w:r>
              <w:rPr>
                <w:rStyle w:val="HTMLZitat"/>
                <w:rFonts w:ascii="Arial" w:hAnsi="Arial" w:cs="Arial"/>
                <w:bCs/>
                <w:i w:val="0"/>
                <w:sz w:val="20"/>
                <w:szCs w:val="20"/>
              </w:rPr>
              <w:t xml:space="preserve"> Lerninhalte im Kurs mit eA ggf. mehr Unterrichtszeit angesetzt werden als im Kurs mit gA.</w:t>
            </w:r>
          </w:p>
        </w:tc>
      </w:tr>
    </w:tbl>
    <w:p w14:paraId="4C4BF99F" w14:textId="00779F1E"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6658"/>
        <w:gridCol w:w="4110"/>
        <w:gridCol w:w="851"/>
        <w:gridCol w:w="2941"/>
      </w:tblGrid>
      <w:tr w:rsidR="00507091" w:rsidRPr="008E3A37" w14:paraId="1A122D1A" w14:textId="77777777" w:rsidTr="0002387D">
        <w:tc>
          <w:tcPr>
            <w:tcW w:w="10768" w:type="dxa"/>
            <w:gridSpan w:val="2"/>
            <w:shd w:val="clear" w:color="auto" w:fill="FFFF00"/>
          </w:tcPr>
          <w:p w14:paraId="011F401A" w14:textId="07A8E4DC"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2:</w:t>
            </w:r>
            <w:r w:rsidR="00246591" w:rsidRPr="008E3A37">
              <w:rPr>
                <w:rFonts w:ascii="Arial" w:hAnsi="Arial" w:cs="Arial"/>
                <w:b/>
                <w:bCs/>
                <w:sz w:val="28"/>
                <w:szCs w:val="28"/>
              </w:rPr>
              <w:t xml:space="preserve"> Neuronale Informationsverarbeitung</w:t>
            </w:r>
          </w:p>
        </w:tc>
        <w:tc>
          <w:tcPr>
            <w:tcW w:w="3792" w:type="dxa"/>
            <w:gridSpan w:val="2"/>
            <w:shd w:val="clear" w:color="auto" w:fill="FFFF00"/>
            <w:vAlign w:val="center"/>
          </w:tcPr>
          <w:p w14:paraId="26EAD5A0" w14:textId="4B728877" w:rsidR="00507091" w:rsidRPr="00893DB8" w:rsidRDefault="00507091" w:rsidP="00334199">
            <w:pPr>
              <w:jc w:val="center"/>
              <w:rPr>
                <w:rFonts w:ascii="Arial" w:hAnsi="Arial" w:cs="Arial"/>
                <w:iCs/>
              </w:rPr>
            </w:pPr>
            <w:r w:rsidRPr="00893DB8">
              <w:rPr>
                <w:rFonts w:ascii="Arial" w:hAnsi="Arial" w:cs="Arial"/>
                <w:iCs/>
                <w:sz w:val="22"/>
                <w:szCs w:val="22"/>
              </w:rPr>
              <w:t>ca.</w:t>
            </w:r>
            <w:r w:rsidR="00246591" w:rsidRPr="00893DB8">
              <w:rPr>
                <w:rFonts w:ascii="Arial" w:hAnsi="Arial" w:cs="Arial"/>
                <w:iCs/>
                <w:sz w:val="22"/>
                <w:szCs w:val="22"/>
              </w:rPr>
              <w:t xml:space="preserve"> 28</w:t>
            </w:r>
            <w:r w:rsidR="0002387D" w:rsidRPr="00893DB8">
              <w:rPr>
                <w:rFonts w:ascii="Arial" w:hAnsi="Arial" w:cs="Arial"/>
                <w:iCs/>
                <w:sz w:val="22"/>
                <w:szCs w:val="22"/>
              </w:rPr>
              <w:t xml:space="preserve"> (eA) bzw.</w:t>
            </w:r>
            <w:r w:rsidR="0038046E" w:rsidRPr="00893DB8">
              <w:rPr>
                <w:rFonts w:ascii="Arial" w:hAnsi="Arial" w:cs="Arial"/>
                <w:iCs/>
                <w:sz w:val="22"/>
                <w:szCs w:val="22"/>
              </w:rPr>
              <w:t xml:space="preserve"> 15</w:t>
            </w:r>
            <w:r w:rsidR="0002387D" w:rsidRPr="00893DB8">
              <w:rPr>
                <w:rFonts w:ascii="Arial" w:hAnsi="Arial" w:cs="Arial"/>
                <w:iCs/>
                <w:sz w:val="22"/>
                <w:szCs w:val="22"/>
              </w:rPr>
              <w:t xml:space="preserve"> (gA) Stunden</w:t>
            </w:r>
          </w:p>
        </w:tc>
      </w:tr>
      <w:tr w:rsidR="00507091" w:rsidRPr="008E3A37" w14:paraId="1269D551" w14:textId="77777777" w:rsidTr="004175A5">
        <w:tc>
          <w:tcPr>
            <w:tcW w:w="6658" w:type="dxa"/>
            <w:shd w:val="clear" w:color="auto" w:fill="FFFFCC"/>
          </w:tcPr>
          <w:p w14:paraId="4658F27C"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902" w:type="dxa"/>
            <w:gridSpan w:val="3"/>
            <w:shd w:val="clear" w:color="auto" w:fill="CCCCFF"/>
          </w:tcPr>
          <w:p w14:paraId="5D5B4B6F"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071E0A31" w14:textId="77777777" w:rsidTr="004175A5">
        <w:tc>
          <w:tcPr>
            <w:tcW w:w="6658" w:type="dxa"/>
            <w:shd w:val="clear" w:color="auto" w:fill="FFFFCC"/>
          </w:tcPr>
          <w:p w14:paraId="1E6485F9"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Bau einer Nervenzelle </w:t>
            </w:r>
          </w:p>
          <w:p w14:paraId="1174669E"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Aufbau einer Biomembran nach dem Flüssig-Mosaik-Modell; freie Diffusion, aktiver und passiver Transport, selektive Permeabilität </w:t>
            </w:r>
          </w:p>
          <w:p w14:paraId="399187FA" w14:textId="6173BDBF"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Ruhepotential: Modellvorstellung zur Entstehung und Aufrecht</w:t>
            </w:r>
            <w:r w:rsidR="00A858C2" w:rsidRPr="00E40F4C">
              <w:rPr>
                <w:rFonts w:ascii="Arial" w:eastAsia="Times New Roman" w:hAnsi="Arial" w:cs="Arial"/>
                <w:sz w:val="20"/>
                <w:szCs w:val="20"/>
                <w:lang w:eastAsia="de-DE"/>
              </w:rPr>
              <w:softHyphen/>
            </w:r>
            <w:r w:rsidRPr="00E40F4C">
              <w:rPr>
                <w:rFonts w:ascii="Arial" w:eastAsia="Times New Roman" w:hAnsi="Arial" w:cs="Arial"/>
                <w:sz w:val="20"/>
                <w:szCs w:val="20"/>
                <w:lang w:eastAsia="de-DE"/>
              </w:rPr>
              <w:t xml:space="preserve">erhaltung; Potentialmessungen </w:t>
            </w:r>
          </w:p>
          <w:p w14:paraId="1F1A4DBA"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Aktionspotential: Ionenkanäle und Ionenbewegungen, zeitlicher Verlauf, absolute und relative Refraktärphase, Alles-oder-Nichts-Prinzip, Codierung der Information (Reizstärke, Reizdauer) </w:t>
            </w:r>
          </w:p>
          <w:p w14:paraId="4F248C1F"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myelinisierte und nicht-myelinisierte Nervenfaser, Kosten-Nutzen-Analyse von kontinuierlicher und saltatorischer Erregungsleitung </w:t>
            </w:r>
          </w:p>
          <w:p w14:paraId="482059E7"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elektrochemische Vorgänge an einer erregenden chemischen Synapse: Prinzip der Erregungsübertragung, Schlüssel-Schloss-Modell am Rezeptor </w:t>
            </w:r>
          </w:p>
          <w:p w14:paraId="1C25C830"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Prinzip der Stoffeinwirkung an der neuromuskulären Synapse; Synapsen als Angriffsorte für Medikamente und Suchtmittel </w:t>
            </w:r>
          </w:p>
          <w:p w14:paraId="707DA809" w14:textId="7BA0CB37" w:rsidR="00932311"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Symptome der Depression; Erklärung durch Monoamin-Hypothese</w:t>
            </w:r>
            <w:r w:rsidRPr="00A858C2">
              <w:rPr>
                <w:rFonts w:ascii="Arial" w:eastAsia="Times New Roman" w:hAnsi="Arial" w:cs="Arial"/>
                <w:sz w:val="20"/>
                <w:szCs w:val="20"/>
                <w:lang w:eastAsia="de-DE"/>
              </w:rPr>
              <w:t>, Vulne</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rabilitäts-Stress-Modell; Therapie durch Serotonin-Wiederauf</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nahmehem</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mer; psychische und soziale Folgen für Betroffene; Um</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gang mit Betroffe</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nen (Stigmatisierung) </w:t>
            </w:r>
          </w:p>
          <w:p w14:paraId="729351D1" w14:textId="77777777" w:rsidR="00A46A43" w:rsidRDefault="00A46A43" w:rsidP="00A46A43">
            <w:pPr>
              <w:ind w:left="357"/>
              <w:rPr>
                <w:rFonts w:ascii="Arial" w:eastAsia="Times New Roman" w:hAnsi="Arial" w:cs="Arial"/>
                <w:sz w:val="20"/>
                <w:szCs w:val="20"/>
                <w:lang w:eastAsia="de-DE"/>
              </w:rPr>
            </w:pPr>
          </w:p>
          <w:p w14:paraId="3325E576" w14:textId="77777777" w:rsidR="00A46A43" w:rsidRDefault="00A46A43" w:rsidP="00A46A43">
            <w:pPr>
              <w:ind w:left="357"/>
              <w:rPr>
                <w:rFonts w:ascii="Arial" w:eastAsia="Times New Roman" w:hAnsi="Arial" w:cs="Arial"/>
                <w:sz w:val="20"/>
                <w:szCs w:val="20"/>
                <w:lang w:eastAsia="de-DE"/>
              </w:rPr>
            </w:pPr>
          </w:p>
          <w:p w14:paraId="14DF66FC" w14:textId="77777777" w:rsidR="00C0464B" w:rsidRDefault="00C0464B" w:rsidP="00A46A43">
            <w:pPr>
              <w:ind w:left="357"/>
              <w:rPr>
                <w:rFonts w:ascii="Arial" w:eastAsia="Times New Roman" w:hAnsi="Arial" w:cs="Arial"/>
                <w:sz w:val="20"/>
                <w:szCs w:val="20"/>
                <w:lang w:eastAsia="de-DE"/>
              </w:rPr>
            </w:pPr>
          </w:p>
          <w:p w14:paraId="64F0324A" w14:textId="77777777" w:rsidR="00C0464B" w:rsidRDefault="00C0464B" w:rsidP="00A46A43">
            <w:pPr>
              <w:ind w:left="357"/>
              <w:rPr>
                <w:rFonts w:ascii="Arial" w:eastAsia="Times New Roman" w:hAnsi="Arial" w:cs="Arial"/>
                <w:sz w:val="20"/>
                <w:szCs w:val="20"/>
                <w:lang w:eastAsia="de-DE"/>
              </w:rPr>
            </w:pPr>
          </w:p>
          <w:p w14:paraId="7A2A52F8" w14:textId="77777777" w:rsidR="00A46A43" w:rsidRDefault="00A46A43" w:rsidP="00A46A43">
            <w:pPr>
              <w:ind w:left="357"/>
              <w:rPr>
                <w:rFonts w:ascii="Arial" w:eastAsia="Times New Roman" w:hAnsi="Arial" w:cs="Arial"/>
                <w:sz w:val="20"/>
                <w:szCs w:val="20"/>
                <w:lang w:eastAsia="de-DE"/>
              </w:rPr>
            </w:pPr>
          </w:p>
          <w:p w14:paraId="42EAE078" w14:textId="77777777" w:rsidR="00A46A43" w:rsidRPr="00A858C2" w:rsidRDefault="00A46A43" w:rsidP="00A46A43">
            <w:pPr>
              <w:ind w:left="357"/>
              <w:rPr>
                <w:rFonts w:ascii="Arial" w:eastAsia="Times New Roman" w:hAnsi="Arial" w:cs="Arial"/>
                <w:sz w:val="20"/>
                <w:szCs w:val="20"/>
                <w:lang w:eastAsia="de-DE"/>
              </w:rPr>
            </w:pPr>
          </w:p>
          <w:p w14:paraId="1FA44FDE" w14:textId="77777777"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elektrochemische Vorgänge an einer hemmenden chemischen Synapse; EPSP und IPSP; Verrechnung: räumliche und zeitliche Summation </w:t>
            </w:r>
          </w:p>
          <w:p w14:paraId="7D98AF04" w14:textId="62A0F1C1"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Neurophysiologische Verfahren: Elektroneurographie (ENG) und Elektro</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kardiographie (EKG) als Diagnoseinstrument </w:t>
            </w:r>
          </w:p>
          <w:p w14:paraId="657F3592" w14:textId="77777777"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zelluläre Prozesse des Lernens: funktionelle sowie strukturelle neuronale Plastizität </w:t>
            </w:r>
          </w:p>
          <w:p w14:paraId="5C370B76" w14:textId="07717D35"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Störungen des neuronalen Systems: u. a. Multiple Sklerose, Parkin</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son </w:t>
            </w:r>
          </w:p>
          <w:p w14:paraId="46BF9D83" w14:textId="338FF08D"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kurzfristige neuronale Stressantwort über Hypothalamus-Sympa</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thi</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kus-Nebennierenmark-Achse; langfristige hormonelle Stressantwort über Hypothalamus-Hypophysen-Nebennierenrinde-Achse; Hormon</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wirkung </w:t>
            </w:r>
          </w:p>
          <w:p w14:paraId="400A76CB" w14:textId="77777777" w:rsidR="00932311"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Regelung der Konzentration von Cortisol: negative Rückkopplung; Eingriff von Cortisol in die Regulation des Blutzuckerspiegels </w:t>
            </w:r>
          </w:p>
          <w:p w14:paraId="1953573C" w14:textId="5684E2AD" w:rsidR="00890A6F" w:rsidRDefault="00890A6F" w:rsidP="000B5CE3">
            <w:pPr>
              <w:numPr>
                <w:ilvl w:val="0"/>
                <w:numId w:val="16"/>
              </w:numPr>
              <w:ind w:left="357" w:hanging="357"/>
              <w:rPr>
                <w:rFonts w:ascii="Arial" w:eastAsia="Times New Roman" w:hAnsi="Arial" w:cs="Arial"/>
                <w:color w:val="0000FF"/>
                <w:sz w:val="20"/>
                <w:szCs w:val="20"/>
                <w:lang w:eastAsia="de-DE"/>
              </w:rPr>
            </w:pPr>
            <w:r>
              <w:rPr>
                <w:rFonts w:ascii="Arial" w:eastAsia="Times New Roman" w:hAnsi="Arial" w:cs="Arial"/>
                <w:color w:val="0000FF"/>
                <w:sz w:val="20"/>
                <w:szCs w:val="20"/>
                <w:lang w:eastAsia="de-DE"/>
              </w:rPr>
              <w:t xml:space="preserve">primäre </w:t>
            </w:r>
            <w:r w:rsidRPr="00A858C2">
              <w:rPr>
                <w:rFonts w:ascii="Arial" w:eastAsia="Times New Roman" w:hAnsi="Arial" w:cs="Arial"/>
                <w:color w:val="0000FF"/>
                <w:sz w:val="20"/>
                <w:szCs w:val="20"/>
                <w:lang w:eastAsia="de-DE"/>
              </w:rPr>
              <w:t>und sekundäre Sinneszelle; Signaltransduktion im Auge: Rhodop</w:t>
            </w:r>
            <w:r>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sin, Umlagerung von Retinal, Hyperpolarisation</w:t>
            </w:r>
            <w:r>
              <w:rPr>
                <w:rFonts w:ascii="Arial" w:eastAsia="Times New Roman" w:hAnsi="Arial" w:cs="Arial"/>
                <w:color w:val="0000FF"/>
                <w:sz w:val="20"/>
                <w:szCs w:val="20"/>
                <w:lang w:eastAsia="de-DE"/>
              </w:rPr>
              <w:t>, Regeneration</w:t>
            </w:r>
          </w:p>
          <w:p w14:paraId="01293ECD" w14:textId="2541553B" w:rsidR="00507091" w:rsidRPr="00890A6F" w:rsidRDefault="00890A6F" w:rsidP="00890A6F">
            <w:pPr>
              <w:numPr>
                <w:ilvl w:val="0"/>
                <w:numId w:val="16"/>
              </w:numPr>
              <w:ind w:left="357" w:hanging="357"/>
              <w:rPr>
                <w:rFonts w:ascii="Arial" w:eastAsia="Times New Roman" w:hAnsi="Arial" w:cs="Arial"/>
                <w:color w:val="0000FF"/>
                <w:sz w:val="20"/>
                <w:szCs w:val="20"/>
                <w:lang w:eastAsia="de-DE"/>
              </w:rPr>
            </w:pPr>
            <w:r>
              <w:rPr>
                <w:rFonts w:ascii="Arial" w:eastAsia="Times New Roman" w:hAnsi="Arial" w:cs="Arial"/>
                <w:color w:val="0000FF"/>
                <w:sz w:val="20"/>
                <w:szCs w:val="20"/>
                <w:lang w:eastAsia="de-DE"/>
              </w:rPr>
              <w:t xml:space="preserve">optische </w:t>
            </w:r>
            <w:r w:rsidRPr="00A858C2">
              <w:rPr>
                <w:rFonts w:ascii="Arial" w:eastAsia="Times New Roman" w:hAnsi="Arial" w:cs="Arial"/>
                <w:color w:val="0000FF"/>
                <w:sz w:val="20"/>
                <w:szCs w:val="20"/>
                <w:lang w:eastAsia="de-DE"/>
              </w:rPr>
              <w:t>sinnesphysiologische Phänomene: zeitliches Auflösungs</w:t>
            </w:r>
            <w:r w:rsidRPr="00A858C2">
              <w:rPr>
                <w:rFonts w:ascii="Arial" w:eastAsia="Times New Roman" w:hAnsi="Arial" w:cs="Arial"/>
                <w:color w:val="0000FF"/>
                <w:sz w:val="20"/>
                <w:szCs w:val="20"/>
                <w:lang w:eastAsia="de-DE"/>
              </w:rPr>
              <w:softHyphen/>
              <w:t>vermö</w:t>
            </w:r>
            <w:r>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gen,</w:t>
            </w:r>
            <w:r>
              <w:rPr>
                <w:rFonts w:ascii="Arial" w:eastAsia="Times New Roman" w:hAnsi="Arial" w:cs="Arial"/>
                <w:color w:val="0000FF"/>
                <w:sz w:val="20"/>
                <w:szCs w:val="20"/>
                <w:lang w:eastAsia="de-DE"/>
              </w:rPr>
              <w:t xml:space="preserve"> Nachbilder</w:t>
            </w:r>
          </w:p>
        </w:tc>
        <w:tc>
          <w:tcPr>
            <w:tcW w:w="7902" w:type="dxa"/>
            <w:gridSpan w:val="3"/>
            <w:shd w:val="clear" w:color="auto" w:fill="CCCCFF"/>
          </w:tcPr>
          <w:p w14:paraId="592465BA" w14:textId="4FB45FAE"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lastRenderedPageBreak/>
              <w:t>skizzieren den Aufbau einer Nervenzelle und stellen die Besonder</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heiten dieses spezialisierten Zelltyps in einen Struktur-Funktions-Zusammenhang. </w:t>
            </w:r>
          </w:p>
          <w:p w14:paraId="645F6C95"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den Aufbau von Biomembranen nach dem Flüssig-Mosaik-Modell, um Transportvorgänge zwischen Kompartimenten zu erläutern. </w:t>
            </w:r>
          </w:p>
          <w:p w14:paraId="3BD56C11" w14:textId="544D4556"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erklären anhand von Messdaten zur Ionenverteilung die Ladungsverhältnis</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se an der Biomembran einer Nervenzelle im Ruhezustand und leiten dar</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aus ab, dass zur Aufrechterhaltung des Ruhepotentials Energie aufgewen</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det werden muss. </w:t>
            </w:r>
          </w:p>
          <w:p w14:paraId="059F9D26" w14:textId="7F8F10B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erklären die auftretenden Potentialänderungen bei einem Aktionspotential, indem sie die Vorgänge auf der Teilchenebene bei überschwelliger Depola</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ri</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sation an der Axonmembran beschreiben, und erklären, wie Informationen codiert werden. </w:t>
            </w:r>
          </w:p>
          <w:p w14:paraId="575C6D88"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und vergleichen die Weiterleitung der Potentialänderung an verschiedenen Nervenfasern, um die unterschiedliche Leistungsfähigkeit von Nervensystemen bei Wirbellosen und Wirbeltieren zu erklären. </w:t>
            </w:r>
          </w:p>
          <w:p w14:paraId="0FE2D320"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leiten aus den Vorgängen bei der Informationsübertragung an erregenden chemischen Synapsen Möglichkeiten ab, diese Informationsübertragung durch Zufuhr von Stoffen zu beeinflussen. </w:t>
            </w:r>
          </w:p>
          <w:p w14:paraId="0BCA2881" w14:textId="77777777" w:rsidR="00932311"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die Symptome der Krankheit Depression und erklären deren Ausbildung im Zusammenhang mit Veränderungen im Gehirnstoffwechsel vor dem </w:t>
            </w:r>
            <w:r w:rsidRPr="00A858C2">
              <w:rPr>
                <w:rFonts w:ascii="Arial" w:eastAsia="Times New Roman" w:hAnsi="Arial" w:cs="Arial"/>
                <w:sz w:val="20"/>
                <w:szCs w:val="20"/>
                <w:lang w:eastAsia="de-DE"/>
              </w:rPr>
              <w:lastRenderedPageBreak/>
              <w:t xml:space="preserve">Hintergrund eines multifaktoriellen Entstehungsmodells, um mit Betroffenen besser umzugehen sowie eine Therapiemöglichkeit abzuleiten. </w:t>
            </w:r>
          </w:p>
          <w:p w14:paraId="11F20867" w14:textId="1066C409" w:rsidR="00A46A43" w:rsidRPr="00A46A43" w:rsidRDefault="00A46A43" w:rsidP="00A46A43">
            <w:pPr>
              <w:ind w:left="357"/>
              <w:rPr>
                <w:rFonts w:ascii="Arial" w:eastAsia="Times New Roman" w:hAnsi="Arial" w:cs="Arial"/>
                <w:i/>
                <w:iCs/>
                <w:sz w:val="20"/>
                <w:szCs w:val="20"/>
                <w:lang w:eastAsia="de-DE"/>
              </w:rPr>
            </w:pPr>
            <w:r w:rsidRPr="00A46A43">
              <w:rPr>
                <w:rFonts w:ascii="Arial" w:eastAsia="Times New Roman" w:hAnsi="Arial" w:cs="Arial"/>
                <w:i/>
                <w:iCs/>
                <w:sz w:val="20"/>
                <w:szCs w:val="20"/>
                <w:lang w:eastAsia="de-DE"/>
              </w:rPr>
              <w:t>analysieren Herkunft, Qualität und Vertrauenswürdigkeit von verwendeten Quellen und Medien sowie darin enthal</w:t>
            </w:r>
            <w:r w:rsidRPr="00A46A43">
              <w:rPr>
                <w:rFonts w:ascii="Arial" w:eastAsia="Times New Roman" w:hAnsi="Arial" w:cs="Arial"/>
                <w:i/>
                <w:iCs/>
                <w:sz w:val="20"/>
                <w:szCs w:val="20"/>
                <w:lang w:eastAsia="de-DE"/>
              </w:rPr>
              <w:softHyphen/>
              <w:t>tene Darstellungsformen im Zusam</w:t>
            </w:r>
            <w:r w:rsidRPr="00A46A43">
              <w:rPr>
                <w:rFonts w:ascii="Arial" w:eastAsia="Times New Roman" w:hAnsi="Arial" w:cs="Arial"/>
                <w:i/>
                <w:iCs/>
                <w:sz w:val="20"/>
                <w:szCs w:val="20"/>
                <w:lang w:eastAsia="de-DE"/>
              </w:rPr>
              <w:softHyphen/>
              <w:t>menhang mit der Intention der Autorin/des Autors. Sie prüfen die Überein</w:t>
            </w:r>
            <w:r w:rsidRPr="00A46A43">
              <w:rPr>
                <w:rFonts w:ascii="Arial" w:eastAsia="Times New Roman" w:hAnsi="Arial" w:cs="Arial"/>
                <w:i/>
                <w:iCs/>
                <w:sz w:val="20"/>
                <w:szCs w:val="20"/>
                <w:lang w:eastAsia="de-DE"/>
              </w:rPr>
              <w:softHyphen/>
              <w:t>stim</w:t>
            </w:r>
            <w:r w:rsidRPr="00A46A43">
              <w:rPr>
                <w:rFonts w:ascii="Arial" w:eastAsia="Times New Roman" w:hAnsi="Arial" w:cs="Arial"/>
                <w:i/>
                <w:iCs/>
                <w:sz w:val="20"/>
                <w:szCs w:val="20"/>
                <w:lang w:eastAsia="de-DE"/>
              </w:rPr>
              <w:softHyphen/>
              <w:t>mung verschiedener Quellen im Hinblick auf deren Aussagen. (Lernbereich 1)</w:t>
            </w:r>
          </w:p>
          <w:p w14:paraId="658080FA" w14:textId="2E814633"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vergleichen die postsynaptischen Potentialänderungen, die sich aus der Verschaltung mehrerer Nervenzellen ergeben, und leiten die Notwendigkeit von erregenden und hemmenden Synapsen für eine geregelte Signalüber</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tragung ab. </w:t>
            </w:r>
          </w:p>
          <w:p w14:paraId="0DE0E5CB"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erklären in Grundzügen die Möglichkeit sowie den medizinischen Nutzen, die elektrische Aktivität der Nervenzellen mithilfe neurophysiologischer Verfahren sichtbar zu machen. </w:t>
            </w:r>
          </w:p>
          <w:p w14:paraId="07DC509A"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erläutern die Notwendigkeit der neuronalen Plastizität als Voraussetzung für Lernprozesse. </w:t>
            </w:r>
          </w:p>
          <w:p w14:paraId="706C771D"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erklären die Symptome von Multipler Sklerose und Parkinson als Störungen des neuronalen Systems. </w:t>
            </w:r>
          </w:p>
          <w:p w14:paraId="0C227432" w14:textId="299FAD22"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leiten aus dem Vergleich der Informationsübertragung von Nerven- und Hormonsystem am Beispiel der Stressreaktion die Bedeutung der Ver</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schrän</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kung dieser Organsysteme ab. </w:t>
            </w:r>
          </w:p>
          <w:p w14:paraId="20D061EE"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beschreiben die Regulation einer Hormonkonzentration und erklären die Auswirkungen von chronischem Stress auch als Eingriff in einen weiteren hormonellen Regelkreis. </w:t>
            </w:r>
          </w:p>
          <w:p w14:paraId="265ADEB2" w14:textId="3D04BAD6" w:rsidR="00507091" w:rsidRPr="00A858C2" w:rsidRDefault="00932311" w:rsidP="000B5CE3">
            <w:pPr>
              <w:pStyle w:val="Listenabsatz"/>
              <w:numPr>
                <w:ilvl w:val="0"/>
                <w:numId w:val="17"/>
              </w:numPr>
              <w:ind w:left="357" w:hanging="357"/>
              <w:rPr>
                <w:rFonts w:ascii="Arial" w:hAnsi="Arial" w:cs="Arial"/>
                <w:color w:val="0000FF"/>
                <w:sz w:val="20"/>
                <w:szCs w:val="20"/>
              </w:rPr>
            </w:pPr>
            <w:r w:rsidRPr="00A858C2">
              <w:rPr>
                <w:rFonts w:ascii="Arial" w:eastAsia="Times New Roman" w:hAnsi="Arial" w:cs="Arial"/>
                <w:color w:val="0000FF"/>
                <w:sz w:val="20"/>
                <w:szCs w:val="20"/>
                <w:lang w:eastAsia="de-DE"/>
              </w:rPr>
              <w:t>erklären das Zustandekommen eines Rezeptorpotentials an einer Sinnes</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zelle durch Beschreibung der bei Reizeinwirkung ablaufenden Vorgänge auf Teilchenebene und wenden ihr Wissen zur Erklärung sinnesphysiolo</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gischer Phänomene an.</w:t>
            </w:r>
          </w:p>
        </w:tc>
      </w:tr>
      <w:tr w:rsidR="00507091" w:rsidRPr="00B6581A" w14:paraId="5AFF5323" w14:textId="77777777" w:rsidTr="004A2DAB">
        <w:tc>
          <w:tcPr>
            <w:tcW w:w="11619" w:type="dxa"/>
            <w:gridSpan w:val="3"/>
            <w:shd w:val="clear" w:color="auto" w:fill="DBDBDB" w:themeFill="accent3" w:themeFillTint="66"/>
          </w:tcPr>
          <w:p w14:paraId="2679A945" w14:textId="77777777" w:rsidR="00507091" w:rsidRPr="00B6581A" w:rsidRDefault="00507091" w:rsidP="00334199">
            <w:pPr>
              <w:rPr>
                <w:i/>
                <w:sz w:val="22"/>
                <w:szCs w:val="22"/>
              </w:rPr>
            </w:pPr>
            <w:r w:rsidRPr="00B6581A">
              <w:rPr>
                <w:b/>
                <w:bCs/>
                <w:i/>
                <w:sz w:val="22"/>
                <w:szCs w:val="22"/>
              </w:rPr>
              <w:lastRenderedPageBreak/>
              <w:t>Das ist neu</w:t>
            </w:r>
            <w:r w:rsidRPr="00B6581A">
              <w:rPr>
                <w:i/>
                <w:sz w:val="22"/>
                <w:szCs w:val="22"/>
              </w:rPr>
              <w:t xml:space="preserve"> gegenüber der Kursphase im G8:</w:t>
            </w:r>
          </w:p>
          <w:p w14:paraId="254FC13A" w14:textId="77777777" w:rsidR="00507091" w:rsidRPr="00B6581A" w:rsidRDefault="00D13C97" w:rsidP="00334199">
            <w:pPr>
              <w:rPr>
                <w:i/>
                <w:sz w:val="22"/>
                <w:szCs w:val="22"/>
              </w:rPr>
            </w:pPr>
            <w:r w:rsidRPr="00B6581A">
              <w:rPr>
                <w:i/>
                <w:sz w:val="22"/>
                <w:szCs w:val="22"/>
              </w:rPr>
              <w:t>– Bau und Funktion der Biomembran jetzt bei Neurobiologie statt bei Zellbiologie</w:t>
            </w:r>
          </w:p>
          <w:p w14:paraId="34ADC179" w14:textId="77777777" w:rsidR="00D13C97" w:rsidRPr="00B6581A" w:rsidRDefault="00D13C97" w:rsidP="00334199">
            <w:pPr>
              <w:rPr>
                <w:i/>
                <w:sz w:val="22"/>
                <w:szCs w:val="22"/>
              </w:rPr>
            </w:pPr>
            <w:r w:rsidRPr="00B6581A">
              <w:rPr>
                <w:i/>
                <w:sz w:val="22"/>
                <w:szCs w:val="22"/>
              </w:rPr>
              <w:t>– Potentialmessungen</w:t>
            </w:r>
          </w:p>
          <w:p w14:paraId="4654611D" w14:textId="69AC29A2" w:rsidR="00D13C97" w:rsidRPr="00B6581A" w:rsidRDefault="00D13C97" w:rsidP="00334199">
            <w:pPr>
              <w:rPr>
                <w:i/>
                <w:sz w:val="22"/>
                <w:szCs w:val="22"/>
              </w:rPr>
            </w:pPr>
            <w:r w:rsidRPr="00B6581A">
              <w:rPr>
                <w:i/>
                <w:sz w:val="22"/>
                <w:szCs w:val="22"/>
              </w:rPr>
              <w:t xml:space="preserve">– </w:t>
            </w:r>
            <w:r w:rsidR="00C2043A" w:rsidRPr="00B6581A">
              <w:rPr>
                <w:i/>
                <w:sz w:val="22"/>
                <w:szCs w:val="22"/>
              </w:rPr>
              <w:t xml:space="preserve">Aktionspotential: </w:t>
            </w:r>
            <w:r w:rsidRPr="00B6581A">
              <w:rPr>
                <w:i/>
                <w:sz w:val="22"/>
                <w:szCs w:val="22"/>
              </w:rPr>
              <w:t>„Ionenkanäle und Ionenbewegungen“ statt der bis</w:t>
            </w:r>
            <w:r w:rsidR="003837E6" w:rsidRPr="00B6581A">
              <w:rPr>
                <w:i/>
                <w:sz w:val="22"/>
                <w:szCs w:val="22"/>
              </w:rPr>
              <w:softHyphen/>
            </w:r>
            <w:r w:rsidRPr="00B6581A">
              <w:rPr>
                <w:i/>
                <w:sz w:val="22"/>
                <w:szCs w:val="22"/>
              </w:rPr>
              <w:t>herigen Formu</w:t>
            </w:r>
            <w:r w:rsidR="003837E6" w:rsidRPr="00B6581A">
              <w:rPr>
                <w:i/>
                <w:sz w:val="22"/>
                <w:szCs w:val="22"/>
              </w:rPr>
              <w:softHyphen/>
            </w:r>
            <w:r w:rsidRPr="00B6581A">
              <w:rPr>
                <w:i/>
                <w:sz w:val="22"/>
                <w:szCs w:val="22"/>
              </w:rPr>
              <w:t>lierung „Auslösebedingungen“</w:t>
            </w:r>
            <w:r w:rsidR="00C2043A" w:rsidRPr="00B6581A">
              <w:rPr>
                <w:i/>
                <w:sz w:val="22"/>
                <w:szCs w:val="22"/>
              </w:rPr>
              <w:t>; Alles-oder-nichts-Prin</w:t>
            </w:r>
            <w:r w:rsidR="003837E6" w:rsidRPr="00B6581A">
              <w:rPr>
                <w:i/>
                <w:sz w:val="22"/>
                <w:szCs w:val="22"/>
              </w:rPr>
              <w:softHyphen/>
            </w:r>
            <w:r w:rsidR="00C2043A" w:rsidRPr="00B6581A">
              <w:rPr>
                <w:i/>
                <w:sz w:val="22"/>
                <w:szCs w:val="22"/>
              </w:rPr>
              <w:t>zip; Codierung der Information (Reizstärke, Reizdauer)</w:t>
            </w:r>
          </w:p>
          <w:p w14:paraId="0ABEA6AF" w14:textId="1467B736" w:rsidR="00C2043A" w:rsidRPr="00B6581A" w:rsidRDefault="00C2043A" w:rsidP="00334199">
            <w:pPr>
              <w:rPr>
                <w:i/>
                <w:sz w:val="22"/>
                <w:szCs w:val="22"/>
              </w:rPr>
            </w:pPr>
            <w:r w:rsidRPr="00B6581A">
              <w:rPr>
                <w:i/>
                <w:sz w:val="22"/>
                <w:szCs w:val="22"/>
              </w:rPr>
              <w:t xml:space="preserve">– </w:t>
            </w:r>
            <w:r w:rsidR="004A2DAB">
              <w:rPr>
                <w:i/>
                <w:sz w:val="22"/>
                <w:szCs w:val="22"/>
              </w:rPr>
              <w:t xml:space="preserve">Formulierung: </w:t>
            </w:r>
            <w:r w:rsidRPr="00B6581A">
              <w:rPr>
                <w:i/>
                <w:sz w:val="22"/>
                <w:szCs w:val="22"/>
              </w:rPr>
              <w:t>Kosten-Nutzen-Analyse von kontinuierlicher und saltatorischer Erre</w:t>
            </w:r>
            <w:r w:rsidRPr="00B6581A">
              <w:rPr>
                <w:i/>
                <w:sz w:val="22"/>
                <w:szCs w:val="22"/>
              </w:rPr>
              <w:softHyphen/>
              <w:t>gungsleitung</w:t>
            </w:r>
          </w:p>
          <w:p w14:paraId="441C85FA" w14:textId="77777777" w:rsidR="00C2043A" w:rsidRDefault="00C2043A" w:rsidP="00334199">
            <w:pPr>
              <w:rPr>
                <w:i/>
                <w:sz w:val="22"/>
                <w:szCs w:val="22"/>
              </w:rPr>
            </w:pPr>
            <w:r w:rsidRPr="00B6581A">
              <w:rPr>
                <w:i/>
                <w:sz w:val="22"/>
                <w:szCs w:val="22"/>
              </w:rPr>
              <w:t>– erregende chemische Synapse: Schlüssel-Schloss-Modell</w:t>
            </w:r>
          </w:p>
          <w:p w14:paraId="22A1A153" w14:textId="1171836A" w:rsidR="00C2043A" w:rsidRPr="00B6581A" w:rsidRDefault="004A2DAB" w:rsidP="00334199">
            <w:pPr>
              <w:rPr>
                <w:i/>
                <w:sz w:val="22"/>
                <w:szCs w:val="22"/>
              </w:rPr>
            </w:pPr>
            <w:r w:rsidRPr="00B6581A">
              <w:rPr>
                <w:i/>
                <w:sz w:val="22"/>
                <w:szCs w:val="22"/>
              </w:rPr>
              <w:t xml:space="preserve">– </w:t>
            </w:r>
            <w:r w:rsidRPr="004A2DAB">
              <w:rPr>
                <w:i/>
                <w:sz w:val="22"/>
                <w:szCs w:val="22"/>
              </w:rPr>
              <w:t>Neuformulierung: „</w:t>
            </w:r>
            <w:r w:rsidRPr="004A2DAB">
              <w:rPr>
                <w:rFonts w:eastAsia="Times New Roman"/>
                <w:i/>
                <w:sz w:val="22"/>
                <w:szCs w:val="22"/>
                <w:lang w:eastAsia="de-DE"/>
              </w:rPr>
              <w:t>Prinzip der Stoffeinwirkung an der neuromuskulären Synapse“</w:t>
            </w:r>
            <w:r w:rsidRPr="004A2DAB">
              <w:rPr>
                <w:i/>
                <w:sz w:val="22"/>
                <w:szCs w:val="22"/>
              </w:rPr>
              <w:t>statt „Synapsen als Angriffsorte von Nervengiften“</w:t>
            </w:r>
            <w:r>
              <w:rPr>
                <w:i/>
                <w:sz w:val="22"/>
                <w:szCs w:val="22"/>
              </w:rPr>
              <w:t xml:space="preserve">; </w:t>
            </w:r>
            <w:r w:rsidRPr="00B6581A">
              <w:rPr>
                <w:i/>
                <w:sz w:val="22"/>
                <w:szCs w:val="22"/>
              </w:rPr>
              <w:t>Beschränkung äußerer chemischer Einflüsse auf die neuromuskuläre Synapse</w:t>
            </w:r>
          </w:p>
          <w:p w14:paraId="40FB7FD3" w14:textId="77777777" w:rsidR="00C2043A" w:rsidRPr="00B6581A" w:rsidRDefault="00C2043A" w:rsidP="00334199">
            <w:pPr>
              <w:rPr>
                <w:i/>
                <w:sz w:val="22"/>
                <w:szCs w:val="22"/>
              </w:rPr>
            </w:pPr>
            <w:r w:rsidRPr="00B6581A">
              <w:rPr>
                <w:i/>
                <w:sz w:val="22"/>
                <w:szCs w:val="22"/>
              </w:rPr>
              <w:t>– Depression</w:t>
            </w:r>
          </w:p>
          <w:p w14:paraId="245F8563" w14:textId="6E5EDBC2" w:rsidR="00C2043A" w:rsidRPr="00B6581A" w:rsidRDefault="00C2043A" w:rsidP="00334199">
            <w:pPr>
              <w:rPr>
                <w:i/>
                <w:sz w:val="22"/>
                <w:szCs w:val="22"/>
              </w:rPr>
            </w:pPr>
            <w:r w:rsidRPr="00B6581A">
              <w:rPr>
                <w:i/>
                <w:sz w:val="22"/>
                <w:szCs w:val="22"/>
              </w:rPr>
              <w:t>– sämtliche Zusatzaspekte im erweiterten Anforderungsniveau</w:t>
            </w:r>
          </w:p>
        </w:tc>
        <w:tc>
          <w:tcPr>
            <w:tcW w:w="2941" w:type="dxa"/>
            <w:shd w:val="clear" w:color="auto" w:fill="DBDBDB" w:themeFill="accent3" w:themeFillTint="66"/>
          </w:tcPr>
          <w:p w14:paraId="787A40A9"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00D8C0B3" w14:textId="3DD32E83" w:rsidR="00D13C97" w:rsidRPr="00B6581A" w:rsidRDefault="00D13C97" w:rsidP="00334199">
            <w:pPr>
              <w:rPr>
                <w:i/>
                <w:sz w:val="22"/>
                <w:szCs w:val="22"/>
              </w:rPr>
            </w:pPr>
            <w:r w:rsidRPr="00B6581A">
              <w:rPr>
                <w:i/>
                <w:sz w:val="22"/>
                <w:szCs w:val="22"/>
              </w:rPr>
              <w:t>– hemmende Synapsen beim grundlegenden Anforderungs</w:t>
            </w:r>
            <w:r w:rsidR="003837E6" w:rsidRPr="00B6581A">
              <w:rPr>
                <w:i/>
                <w:sz w:val="22"/>
                <w:szCs w:val="22"/>
              </w:rPr>
              <w:softHyphen/>
            </w:r>
            <w:r w:rsidRPr="00B6581A">
              <w:rPr>
                <w:i/>
                <w:sz w:val="22"/>
                <w:szCs w:val="22"/>
              </w:rPr>
              <w:t>niveau</w:t>
            </w:r>
          </w:p>
          <w:p w14:paraId="7F8CE377" w14:textId="465BBEA9" w:rsidR="00D13C97" w:rsidRPr="00B6581A" w:rsidRDefault="00D13C97" w:rsidP="00334199">
            <w:pPr>
              <w:rPr>
                <w:i/>
                <w:sz w:val="22"/>
                <w:szCs w:val="22"/>
              </w:rPr>
            </w:pPr>
          </w:p>
        </w:tc>
      </w:tr>
      <w:tr w:rsidR="00507091" w:rsidRPr="00B6581A" w14:paraId="50F51AC0" w14:textId="77777777" w:rsidTr="00334199">
        <w:tc>
          <w:tcPr>
            <w:tcW w:w="14560" w:type="dxa"/>
            <w:gridSpan w:val="4"/>
            <w:shd w:val="clear" w:color="auto" w:fill="FBE4D5" w:themeFill="accent2" w:themeFillTint="33"/>
          </w:tcPr>
          <w:p w14:paraId="10255489" w14:textId="77777777" w:rsidR="00507091" w:rsidRPr="00B6581A" w:rsidRDefault="00507091" w:rsidP="00334199">
            <w:pPr>
              <w:rPr>
                <w:b/>
                <w:bCs/>
                <w:i/>
                <w:sz w:val="22"/>
                <w:szCs w:val="22"/>
              </w:rPr>
            </w:pPr>
            <w:r w:rsidRPr="00B6581A">
              <w:rPr>
                <w:b/>
                <w:bCs/>
                <w:i/>
                <w:sz w:val="22"/>
                <w:szCs w:val="22"/>
              </w:rPr>
              <w:t>Vorwissen:</w:t>
            </w:r>
          </w:p>
          <w:p w14:paraId="0328D80D" w14:textId="7BFF9704" w:rsidR="00507091" w:rsidRPr="00B6581A" w:rsidRDefault="00E40F4C" w:rsidP="00334199">
            <w:pPr>
              <w:rPr>
                <w:i/>
                <w:sz w:val="22"/>
                <w:szCs w:val="22"/>
              </w:rPr>
            </w:pPr>
            <w:r w:rsidRPr="00B6581A">
              <w:rPr>
                <w:rStyle w:val="HTMLZitat"/>
                <w:b/>
                <w:bCs/>
                <w:sz w:val="22"/>
                <w:szCs w:val="22"/>
              </w:rPr>
              <w:t>Jgst. 8 Biologie</w:t>
            </w:r>
            <w:r w:rsidRPr="00B6581A">
              <w:rPr>
                <w:rStyle w:val="HTMLZitat"/>
                <w:sz w:val="22"/>
                <w:szCs w:val="22"/>
              </w:rPr>
              <w:t>, Lernbereich 2:Informationsaufnahme, -verarbeitung und Reaktion beim Menschen (Aufbau einer Nervenzelle, grundlegende Funktionsweise einer chemischen Synapse</w:t>
            </w:r>
            <w:r w:rsidR="00FA7BBC" w:rsidRPr="00B6581A">
              <w:rPr>
                <w:rStyle w:val="HTMLZitat"/>
                <w:sz w:val="22"/>
                <w:szCs w:val="22"/>
              </w:rPr>
              <w:t>; Bau und Funktion des Auges; Stress-Reaktion)</w:t>
            </w:r>
          </w:p>
        </w:tc>
      </w:tr>
      <w:tr w:rsidR="00CA3952" w:rsidRPr="008E3A37" w14:paraId="39F375EE" w14:textId="77777777" w:rsidTr="0002387D">
        <w:tc>
          <w:tcPr>
            <w:tcW w:w="10768" w:type="dxa"/>
            <w:gridSpan w:val="2"/>
            <w:shd w:val="clear" w:color="auto" w:fill="FFFF00"/>
          </w:tcPr>
          <w:p w14:paraId="6699574C" w14:textId="6EBE40A2" w:rsidR="00CA3952" w:rsidRPr="008E3A37" w:rsidRDefault="00CA3952" w:rsidP="00BA60E6">
            <w:pPr>
              <w:rPr>
                <w:rFonts w:ascii="Arial" w:hAnsi="Arial" w:cs="Arial"/>
                <w:b/>
                <w:sz w:val="28"/>
                <w:szCs w:val="28"/>
              </w:rPr>
            </w:pPr>
            <w:r w:rsidRPr="008E3A37">
              <w:rPr>
                <w:rFonts w:ascii="Arial" w:hAnsi="Arial" w:cs="Arial"/>
                <w:b/>
                <w:sz w:val="28"/>
                <w:szCs w:val="28"/>
              </w:rPr>
              <w:lastRenderedPageBreak/>
              <w:t xml:space="preserve">Lernbereich </w:t>
            </w:r>
            <w:r w:rsidR="00507091" w:rsidRPr="008E3A37">
              <w:rPr>
                <w:rFonts w:ascii="Arial" w:hAnsi="Arial" w:cs="Arial"/>
                <w:b/>
                <w:sz w:val="28"/>
                <w:szCs w:val="28"/>
              </w:rPr>
              <w:t>3</w:t>
            </w:r>
            <w:r w:rsidRPr="008E3A37">
              <w:rPr>
                <w:rFonts w:ascii="Arial" w:hAnsi="Arial" w:cs="Arial"/>
                <w:b/>
                <w:sz w:val="28"/>
                <w:szCs w:val="28"/>
              </w:rPr>
              <w:t xml:space="preserve">: </w:t>
            </w:r>
            <w:r w:rsidR="00246591" w:rsidRPr="008E3A37">
              <w:rPr>
                <w:rFonts w:ascii="Arial" w:hAnsi="Arial" w:cs="Arial"/>
                <w:b/>
                <w:sz w:val="28"/>
                <w:szCs w:val="28"/>
              </w:rPr>
              <w:t>Stoffwechselphysiologie der Zelle</w:t>
            </w:r>
          </w:p>
        </w:tc>
        <w:tc>
          <w:tcPr>
            <w:tcW w:w="3792" w:type="dxa"/>
            <w:gridSpan w:val="2"/>
            <w:shd w:val="clear" w:color="auto" w:fill="FFFF00"/>
            <w:vAlign w:val="center"/>
          </w:tcPr>
          <w:p w14:paraId="23B6E171" w14:textId="44DA725A" w:rsidR="00CA3952" w:rsidRPr="00893DB8" w:rsidRDefault="00CA3952" w:rsidP="00CA3952">
            <w:pPr>
              <w:jc w:val="center"/>
              <w:rPr>
                <w:rFonts w:ascii="Arial" w:hAnsi="Arial" w:cs="Arial"/>
                <w:iCs/>
                <w:sz w:val="22"/>
                <w:szCs w:val="22"/>
              </w:rPr>
            </w:pPr>
            <w:r w:rsidRPr="00893DB8">
              <w:rPr>
                <w:rFonts w:ascii="Arial" w:hAnsi="Arial" w:cs="Arial"/>
                <w:iCs/>
                <w:sz w:val="22"/>
                <w:szCs w:val="22"/>
              </w:rPr>
              <w:t>ca.</w:t>
            </w:r>
            <w:r w:rsidR="00246591" w:rsidRPr="00893DB8">
              <w:rPr>
                <w:rFonts w:ascii="Arial" w:hAnsi="Arial" w:cs="Arial"/>
                <w:iCs/>
                <w:sz w:val="22"/>
                <w:szCs w:val="22"/>
              </w:rPr>
              <w:t xml:space="preserve"> 43</w:t>
            </w:r>
            <w:r w:rsidR="0002387D" w:rsidRPr="00893DB8">
              <w:rPr>
                <w:rFonts w:ascii="Arial" w:hAnsi="Arial" w:cs="Arial"/>
                <w:iCs/>
                <w:sz w:val="22"/>
                <w:szCs w:val="22"/>
              </w:rPr>
              <w:t xml:space="preserve"> (eA) bzw. </w:t>
            </w:r>
            <w:r w:rsidR="0038046E" w:rsidRPr="00893DB8">
              <w:rPr>
                <w:rFonts w:ascii="Arial" w:hAnsi="Arial" w:cs="Arial"/>
                <w:iCs/>
                <w:sz w:val="22"/>
                <w:szCs w:val="22"/>
              </w:rPr>
              <w:t>27</w:t>
            </w:r>
            <w:r w:rsidR="0002387D" w:rsidRPr="00893DB8">
              <w:rPr>
                <w:rFonts w:ascii="Arial" w:hAnsi="Arial" w:cs="Arial"/>
                <w:iCs/>
                <w:sz w:val="22"/>
                <w:szCs w:val="22"/>
              </w:rPr>
              <w:t xml:space="preserve"> (gA) Stunden</w:t>
            </w:r>
          </w:p>
        </w:tc>
      </w:tr>
    </w:tbl>
    <w:p w14:paraId="3212B7EA" w14:textId="13266639"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7280"/>
        <w:gridCol w:w="1646"/>
        <w:gridCol w:w="1842"/>
        <w:gridCol w:w="3792"/>
      </w:tblGrid>
      <w:tr w:rsidR="00CA3952" w:rsidRPr="008E3A37" w14:paraId="3B5E9E02" w14:textId="77777777" w:rsidTr="0002387D">
        <w:tc>
          <w:tcPr>
            <w:tcW w:w="10768" w:type="dxa"/>
            <w:gridSpan w:val="3"/>
            <w:shd w:val="clear" w:color="auto" w:fill="FFFF00"/>
          </w:tcPr>
          <w:p w14:paraId="58C8AE35" w14:textId="3B53C9C8" w:rsidR="00CA3952" w:rsidRPr="008E3A37" w:rsidRDefault="00CA3952" w:rsidP="00BA60E6">
            <w:pPr>
              <w:rPr>
                <w:rFonts w:ascii="Arial" w:hAnsi="Arial" w:cs="Arial"/>
                <w:b/>
                <w:bCs/>
                <w:sz w:val="28"/>
                <w:szCs w:val="28"/>
              </w:rPr>
            </w:pPr>
            <w:r w:rsidRPr="008E3A37">
              <w:rPr>
                <w:rFonts w:ascii="Arial" w:hAnsi="Arial" w:cs="Arial"/>
                <w:b/>
                <w:bCs/>
                <w:sz w:val="28"/>
                <w:szCs w:val="28"/>
              </w:rPr>
              <w:t xml:space="preserve">Lernbereich </w:t>
            </w:r>
            <w:r w:rsidR="00507091" w:rsidRPr="008E3A37">
              <w:rPr>
                <w:rFonts w:ascii="Arial" w:hAnsi="Arial" w:cs="Arial"/>
                <w:b/>
                <w:bCs/>
                <w:sz w:val="28"/>
                <w:szCs w:val="28"/>
              </w:rPr>
              <w:t>3</w:t>
            </w:r>
            <w:r w:rsidRPr="008E3A37">
              <w:rPr>
                <w:rFonts w:ascii="Arial" w:hAnsi="Arial" w:cs="Arial"/>
                <w:b/>
                <w:bCs/>
                <w:sz w:val="28"/>
                <w:szCs w:val="28"/>
              </w:rPr>
              <w:t>.1:</w:t>
            </w:r>
            <w:r w:rsidR="001C2EAD" w:rsidRPr="008E3A37">
              <w:rPr>
                <w:rFonts w:ascii="Arial" w:hAnsi="Arial" w:cs="Arial"/>
                <w:b/>
                <w:bCs/>
                <w:sz w:val="28"/>
                <w:szCs w:val="28"/>
              </w:rPr>
              <w:t xml:space="preserve"> Aufbau von energiereichen Stoffen (Assimilation)</w:t>
            </w:r>
          </w:p>
        </w:tc>
        <w:tc>
          <w:tcPr>
            <w:tcW w:w="3792" w:type="dxa"/>
            <w:shd w:val="clear" w:color="auto" w:fill="FFFF00"/>
            <w:vAlign w:val="center"/>
          </w:tcPr>
          <w:p w14:paraId="25D01912" w14:textId="3F7D60F1" w:rsidR="00CA3952" w:rsidRPr="00893DB8" w:rsidRDefault="00CA3952" w:rsidP="00CA3952">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24</w:t>
            </w:r>
            <w:r w:rsidR="0002387D" w:rsidRPr="00893DB8">
              <w:rPr>
                <w:rFonts w:ascii="Arial" w:hAnsi="Arial" w:cs="Arial"/>
                <w:iCs/>
                <w:sz w:val="22"/>
                <w:szCs w:val="22"/>
              </w:rPr>
              <w:t xml:space="preserve"> (eA) bzw. </w:t>
            </w:r>
            <w:r w:rsidR="0038046E" w:rsidRPr="00893DB8">
              <w:rPr>
                <w:rFonts w:ascii="Arial" w:hAnsi="Arial" w:cs="Arial"/>
                <w:iCs/>
                <w:sz w:val="22"/>
                <w:szCs w:val="22"/>
              </w:rPr>
              <w:t>17</w:t>
            </w:r>
            <w:r w:rsidR="0002387D" w:rsidRPr="00893DB8">
              <w:rPr>
                <w:rFonts w:ascii="Arial" w:hAnsi="Arial" w:cs="Arial"/>
                <w:iCs/>
                <w:sz w:val="22"/>
                <w:szCs w:val="22"/>
              </w:rPr>
              <w:t xml:space="preserve"> (gA) Stunden</w:t>
            </w:r>
          </w:p>
        </w:tc>
      </w:tr>
      <w:tr w:rsidR="00CA3952" w:rsidRPr="008E3A37" w14:paraId="67A3115E" w14:textId="77777777" w:rsidTr="00452A3B">
        <w:tc>
          <w:tcPr>
            <w:tcW w:w="7280" w:type="dxa"/>
            <w:shd w:val="clear" w:color="auto" w:fill="FFFFCC"/>
          </w:tcPr>
          <w:p w14:paraId="37E07DBB" w14:textId="6D682EBF" w:rsidR="00CA3952" w:rsidRPr="008E3A37" w:rsidRDefault="00CA3952" w:rsidP="00BA60E6">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3A4441F4" w14:textId="34EC442F" w:rsidR="00CA3952" w:rsidRPr="008E3A37" w:rsidRDefault="00CA3952" w:rsidP="00BA60E6">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A3952" w:rsidRPr="008E3A37" w14:paraId="5BEED3D7" w14:textId="77777777" w:rsidTr="00452A3B">
        <w:tc>
          <w:tcPr>
            <w:tcW w:w="7280" w:type="dxa"/>
            <w:shd w:val="clear" w:color="auto" w:fill="FFFFCC"/>
          </w:tcPr>
          <w:p w14:paraId="02689ACB" w14:textId="2B975820" w:rsidR="00932311" w:rsidRPr="00D00622" w:rsidRDefault="00932311" w:rsidP="00215675">
            <w:pPr>
              <w:numPr>
                <w:ilvl w:val="0"/>
                <w:numId w:val="4"/>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Gesamtgleichung der Photosynthese als Redoxreaktion (Stoffumwandlung, Energieumwandlung, Energieentwertung); Assimilation durch photoauto</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trophe </w:t>
            </w:r>
            <w:r w:rsidRPr="00D00622">
              <w:rPr>
                <w:rFonts w:ascii="Arial" w:eastAsia="Times New Roman" w:hAnsi="Arial" w:cs="Arial"/>
                <w:sz w:val="20"/>
                <w:szCs w:val="20"/>
                <w:lang w:eastAsia="de-DE"/>
              </w:rPr>
              <w:t xml:space="preserve">Organismen </w:t>
            </w:r>
          </w:p>
          <w:p w14:paraId="020703F7" w14:textId="2CC3508D"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Photosyntheserate in Abhängigkeit von verschiedenen abiotischen Fakto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ren: Lichtqualität (Absorptions- und Wirkungsspektrum der Photosynthese), Beleuchtungsstärke, Kohlenstoffdioxid-Konzentration, Temperatur; ökolo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gische Bedeutung der Außenfaktoren; Maßnahmen zur Ertragssteigerung </w:t>
            </w:r>
          </w:p>
          <w:p w14:paraId="622FC045" w14:textId="0658B5EA"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Photosynthesefarbstoffe (u. a. Chlorophylle, β-Carotin); Prinzip der Chro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ma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tographie </w:t>
            </w:r>
          </w:p>
          <w:p w14:paraId="5CF007FA" w14:textId="175FD1A5"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Angepasstheiten der Pflanze an die Photosynthese: Absorption von Licht (Aufbau von Schatten- und Sonnenblättern, Feinbau des Chloroplasten (elektronenoptisches Bild)), </w:t>
            </w:r>
            <w:r w:rsidRPr="008C539E">
              <w:rPr>
                <w:rFonts w:ascii="Arial" w:eastAsia="Times New Roman" w:hAnsi="Arial" w:cs="Arial"/>
                <w:color w:val="0000FF"/>
                <w:sz w:val="20"/>
                <w:szCs w:val="20"/>
                <w:lang w:eastAsia="de-DE"/>
              </w:rPr>
              <w:t>Lichtsammelkomplexe</w:t>
            </w:r>
            <w:r w:rsidRPr="00D00622">
              <w:rPr>
                <w:rFonts w:ascii="Arial" w:eastAsia="Times New Roman" w:hAnsi="Arial" w:cs="Arial"/>
                <w:sz w:val="20"/>
                <w:szCs w:val="20"/>
                <w:lang w:eastAsia="de-DE"/>
              </w:rPr>
              <w:t>, Aufnahme von Kohlen</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stoffdioxid über Spaltöffnungen, Verdunstungsschutz (Blattfläche, Epider</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mis mit Cuticula, Spaltöffnungen) </w:t>
            </w:r>
          </w:p>
          <w:p w14:paraId="7F6EF01C" w14:textId="77777777" w:rsidR="00932311" w:rsidRPr="00D00622" w:rsidRDefault="00932311" w:rsidP="00215675">
            <w:pPr>
              <w:numPr>
                <w:ilvl w:val="0"/>
                <w:numId w:val="4"/>
              </w:numPr>
              <w:ind w:left="357" w:hanging="357"/>
              <w:rPr>
                <w:rFonts w:ascii="Arial" w:eastAsia="Times New Roman" w:hAnsi="Arial" w:cs="Arial"/>
                <w:color w:val="0000FF"/>
                <w:sz w:val="20"/>
                <w:szCs w:val="20"/>
                <w:lang w:eastAsia="de-DE"/>
              </w:rPr>
            </w:pPr>
            <w:r w:rsidRPr="00D00622">
              <w:rPr>
                <w:rFonts w:ascii="Arial" w:eastAsia="Times New Roman" w:hAnsi="Arial" w:cs="Arial"/>
                <w:color w:val="0000FF"/>
                <w:sz w:val="20"/>
                <w:szCs w:val="20"/>
                <w:lang w:eastAsia="de-DE"/>
              </w:rPr>
              <w:t xml:space="preserve">Tracer-Methode </w:t>
            </w:r>
          </w:p>
          <w:p w14:paraId="5DFE70C2" w14:textId="3A74B747"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energetisches Modell der lichtabhängigen Reaktionen: Zerlegung von Wasser, </w:t>
            </w:r>
            <w:r w:rsidRPr="00F2181E">
              <w:rPr>
                <w:rFonts w:ascii="Arial" w:eastAsia="Times New Roman" w:hAnsi="Arial" w:cs="Arial"/>
                <w:color w:val="0000FF"/>
                <w:sz w:val="20"/>
                <w:szCs w:val="20"/>
                <w:lang w:eastAsia="de-DE"/>
              </w:rPr>
              <w:t xml:space="preserve">zyklischer </w:t>
            </w:r>
            <w:r w:rsidRPr="005D2D17">
              <w:rPr>
                <w:rFonts w:ascii="Arial" w:eastAsia="Times New Roman" w:hAnsi="Arial" w:cs="Arial"/>
                <w:color w:val="0000FF"/>
                <w:sz w:val="20"/>
                <w:szCs w:val="20"/>
                <w:lang w:eastAsia="de-DE"/>
              </w:rPr>
              <w:t xml:space="preserve">und </w:t>
            </w:r>
            <w:r w:rsidRPr="00F2181E">
              <w:rPr>
                <w:rFonts w:ascii="Arial" w:eastAsia="Times New Roman" w:hAnsi="Arial" w:cs="Arial"/>
                <w:sz w:val="20"/>
                <w:szCs w:val="20"/>
                <w:lang w:eastAsia="de-DE"/>
              </w:rPr>
              <w:t xml:space="preserve">nicht-zyklischer </w:t>
            </w:r>
            <w:r w:rsidRPr="00D00622">
              <w:rPr>
                <w:rFonts w:ascii="Arial" w:eastAsia="Times New Roman" w:hAnsi="Arial" w:cs="Arial"/>
                <w:sz w:val="20"/>
                <w:szCs w:val="20"/>
                <w:lang w:eastAsia="de-DE"/>
              </w:rPr>
              <w:t>Elektronentransport an der Thyla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koidmembran, Bildung von NADPH; Bildung von ATP nach der chemi</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osmo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tischen Theorie, ATP/ADP-System </w:t>
            </w:r>
          </w:p>
          <w:p w14:paraId="0538B5CC" w14:textId="77777777"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wesentliche Schritte des Calvin-Zyklus: Fixierungsphase, Reduktionsphase, Regenerationsphase, Bildung von Glucose </w:t>
            </w:r>
          </w:p>
          <w:p w14:paraId="51EDE222" w14:textId="77777777" w:rsidR="00215675" w:rsidRPr="004A2DAB" w:rsidRDefault="00932311" w:rsidP="00215675">
            <w:pPr>
              <w:numPr>
                <w:ilvl w:val="0"/>
                <w:numId w:val="4"/>
              </w:numPr>
              <w:ind w:left="357" w:hanging="357"/>
              <w:rPr>
                <w:rFonts w:ascii="Arial" w:hAnsi="Arial" w:cs="Arial"/>
                <w:sz w:val="20"/>
                <w:szCs w:val="20"/>
              </w:rPr>
            </w:pPr>
            <w:r w:rsidRPr="00D00622">
              <w:rPr>
                <w:rFonts w:ascii="Arial" w:eastAsia="Times New Roman" w:hAnsi="Arial" w:cs="Arial"/>
                <w:sz w:val="20"/>
                <w:szCs w:val="20"/>
                <w:lang w:eastAsia="de-DE"/>
              </w:rPr>
              <w:t>Zusammenhang der lichtabhängigen und lichtunabhängigen</w:t>
            </w:r>
            <w:r w:rsidRPr="00381E6D">
              <w:rPr>
                <w:rFonts w:ascii="Arial" w:eastAsia="Times New Roman" w:hAnsi="Arial" w:cs="Arial"/>
                <w:sz w:val="20"/>
                <w:szCs w:val="20"/>
                <w:lang w:eastAsia="de-DE"/>
              </w:rPr>
              <w:t xml:space="preserve"> Reaktionen (Primär- und Sekundärreaktionen) </w:t>
            </w:r>
          </w:p>
          <w:p w14:paraId="75DE3A48" w14:textId="6885E56A" w:rsidR="00CA3952" w:rsidRPr="004A2DAB" w:rsidRDefault="004A2DAB" w:rsidP="004A2DAB">
            <w:pPr>
              <w:numPr>
                <w:ilvl w:val="0"/>
                <w:numId w:val="4"/>
              </w:numPr>
              <w:ind w:left="357" w:hanging="357"/>
              <w:rPr>
                <w:rFonts w:ascii="Arial" w:hAnsi="Arial" w:cs="Arial"/>
                <w:color w:val="0000FF"/>
                <w:sz w:val="20"/>
                <w:szCs w:val="20"/>
              </w:rPr>
            </w:pPr>
            <w:r w:rsidRPr="004A2DAB">
              <w:rPr>
                <w:rFonts w:ascii="Arial" w:eastAsia="Times New Roman" w:hAnsi="Arial" w:cs="Arial"/>
                <w:color w:val="0000FF"/>
                <w:sz w:val="20"/>
                <w:szCs w:val="20"/>
                <w:lang w:eastAsia="de-DE"/>
              </w:rPr>
              <w:t>Besonderheiten</w:t>
            </w:r>
            <w:r>
              <w:rPr>
                <w:rFonts w:ascii="Arial" w:eastAsia="Times New Roman" w:hAnsi="Arial" w:cs="Arial"/>
                <w:color w:val="0000FF"/>
                <w:sz w:val="20"/>
                <w:szCs w:val="20"/>
                <w:lang w:eastAsia="de-DE"/>
              </w:rPr>
              <w:t xml:space="preserve"> </w:t>
            </w:r>
            <w:r w:rsidRPr="00381E6D">
              <w:rPr>
                <w:rFonts w:ascii="Arial" w:eastAsia="Times New Roman" w:hAnsi="Arial" w:cs="Arial"/>
                <w:color w:val="0000FF"/>
                <w:sz w:val="20"/>
                <w:szCs w:val="20"/>
                <w:lang w:eastAsia="de-DE"/>
              </w:rPr>
              <w:t>der C4-Pflanzen: Blattanatomie und biochemische Prozes</w:t>
            </w:r>
            <w:r>
              <w:rPr>
                <w:rFonts w:ascii="Arial" w:eastAsia="Times New Roman" w:hAnsi="Arial" w:cs="Arial"/>
                <w:color w:val="0000FF"/>
                <w:sz w:val="20"/>
                <w:szCs w:val="20"/>
                <w:lang w:eastAsia="de-DE"/>
              </w:rPr>
              <w:softHyphen/>
            </w:r>
            <w:r w:rsidRPr="00381E6D">
              <w:rPr>
                <w:rFonts w:ascii="Arial" w:eastAsia="Times New Roman" w:hAnsi="Arial" w:cs="Arial"/>
                <w:color w:val="0000FF"/>
                <w:sz w:val="20"/>
                <w:szCs w:val="20"/>
                <w:lang w:eastAsia="de-DE"/>
              </w:rPr>
              <w:t>se; Vergleich der Photosyntheseraten von C3- und C4-Pflanzen bei ver</w:t>
            </w:r>
            <w:r>
              <w:rPr>
                <w:rFonts w:ascii="Arial" w:eastAsia="Times New Roman" w:hAnsi="Arial" w:cs="Arial"/>
                <w:color w:val="0000FF"/>
                <w:sz w:val="20"/>
                <w:szCs w:val="20"/>
                <w:lang w:eastAsia="de-DE"/>
              </w:rPr>
              <w:softHyphen/>
            </w:r>
            <w:r w:rsidRPr="00381E6D">
              <w:rPr>
                <w:rFonts w:ascii="Arial" w:eastAsia="Times New Roman" w:hAnsi="Arial" w:cs="Arial"/>
                <w:color w:val="0000FF"/>
                <w:sz w:val="20"/>
                <w:szCs w:val="20"/>
                <w:lang w:eastAsia="de-DE"/>
              </w:rPr>
              <w:t>schiedenen äußeren Bedingungen (u. a.</w:t>
            </w:r>
            <w:r>
              <w:rPr>
                <w:rFonts w:ascii="Arial" w:eastAsia="Times New Roman" w:hAnsi="Arial" w:cs="Arial"/>
                <w:color w:val="0000FF"/>
                <w:sz w:val="20"/>
                <w:szCs w:val="20"/>
                <w:lang w:eastAsia="de-DE"/>
              </w:rPr>
              <w:t xml:space="preserve"> Trockenheit)</w:t>
            </w:r>
          </w:p>
        </w:tc>
        <w:tc>
          <w:tcPr>
            <w:tcW w:w="7280" w:type="dxa"/>
            <w:gridSpan w:val="3"/>
            <w:shd w:val="clear" w:color="auto" w:fill="CCCCFF"/>
          </w:tcPr>
          <w:p w14:paraId="29C3B171"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beschreiben das Grundprinzip der Assimilation und legen deren Bedeutung für das Leben auf der Erde dar. </w:t>
            </w:r>
          </w:p>
          <w:p w14:paraId="537B0268" w14:textId="77E023F6"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erklären, welche Außenfaktoren die Photosynthese beeinflussen, legen dar, wie sich Veränderungen der Außenfaktoren auf die Photosyntheserate aus</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wirken, und beurteilen deren Folgen für Wild- und Nutzpflanzen. </w:t>
            </w:r>
          </w:p>
          <w:p w14:paraId="31183F20"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trennen die verschiedenen Photosynthesefarbstoffe in einem Blattextrakt durch Chromatographie, um zu zeigen, dass ein Farbstoffgemisch für die Absorption von Licht verantwortlich ist. </w:t>
            </w:r>
          </w:p>
          <w:p w14:paraId="0A3A8552" w14:textId="2EA842B6"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stellen einen Zusammenhang zwischen molekularen, anatomischen und morphologischen Strukturen her, indem sie auf verschiedenen Organisa</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tions</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ebenen die Angepasstheiten einer Pflanze an die Photosynthese erläutern. </w:t>
            </w:r>
          </w:p>
          <w:p w14:paraId="02195457" w14:textId="77777777" w:rsidR="00932311" w:rsidRPr="00381E6D" w:rsidRDefault="00932311" w:rsidP="00215675">
            <w:pPr>
              <w:pStyle w:val="Listenabsatz"/>
              <w:numPr>
                <w:ilvl w:val="0"/>
                <w:numId w:val="3"/>
              </w:numPr>
              <w:ind w:left="357" w:hanging="357"/>
              <w:rPr>
                <w:rFonts w:ascii="Arial" w:eastAsia="Times New Roman" w:hAnsi="Arial" w:cs="Arial"/>
                <w:color w:val="0000FF"/>
                <w:sz w:val="20"/>
                <w:szCs w:val="20"/>
                <w:lang w:eastAsia="de-DE"/>
              </w:rPr>
            </w:pPr>
            <w:r w:rsidRPr="00381E6D">
              <w:rPr>
                <w:rFonts w:ascii="Arial" w:eastAsia="Times New Roman" w:hAnsi="Arial" w:cs="Arial"/>
                <w:color w:val="0000FF"/>
                <w:sz w:val="20"/>
                <w:szCs w:val="20"/>
                <w:lang w:eastAsia="de-DE"/>
              </w:rPr>
              <w:t xml:space="preserve">beschreiben die Tracer-Methode als Werkzeug, um Stoffwechselwege, z. B. bei der Photosynthese, aufzuklären. </w:t>
            </w:r>
          </w:p>
          <w:p w14:paraId="20C52DE7" w14:textId="08140894"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erklären die Bildung von NADPH und ATP, die für den Glucose-Aufbau benötigt werden, mithilfe eines energetischen Modells und der chemiosmo</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tischen Theorie zum Ablauf der lichtabhängigen Reaktionen. </w:t>
            </w:r>
          </w:p>
          <w:p w14:paraId="477EB569"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charakterisieren den Calvin-Zyklus als Schlüsselstelle für den Aufbau von energiereichen organischen Verbindungen unter Verwendung von NADPH und ATP aus den lichtabhängigen Reaktionen. </w:t>
            </w:r>
          </w:p>
          <w:p w14:paraId="696ED503" w14:textId="3D7B14C1" w:rsidR="00CA3952" w:rsidRPr="00381E6D" w:rsidRDefault="00932311" w:rsidP="00215675">
            <w:pPr>
              <w:pStyle w:val="Listenabsatz"/>
              <w:numPr>
                <w:ilvl w:val="0"/>
                <w:numId w:val="3"/>
              </w:numPr>
              <w:ind w:left="357" w:hanging="357"/>
              <w:rPr>
                <w:rFonts w:ascii="Arial" w:hAnsi="Arial" w:cs="Arial"/>
                <w:b/>
                <w:bCs/>
                <w:color w:val="0000FF"/>
                <w:sz w:val="20"/>
                <w:szCs w:val="20"/>
              </w:rPr>
            </w:pPr>
            <w:r w:rsidRPr="00381E6D">
              <w:rPr>
                <w:rFonts w:ascii="Arial" w:hAnsi="Arial" w:cs="Arial"/>
                <w:color w:val="0000FF"/>
                <w:sz w:val="20"/>
                <w:szCs w:val="20"/>
              </w:rPr>
              <w:t>vergleichen C3- und C4-Pflanzen im Hinblick auf anatomische Besonder</w:t>
            </w:r>
            <w:r w:rsidR="00381E6D">
              <w:rPr>
                <w:rFonts w:ascii="Arial" w:hAnsi="Arial" w:cs="Arial"/>
                <w:color w:val="0000FF"/>
                <w:sz w:val="20"/>
                <w:szCs w:val="20"/>
              </w:rPr>
              <w:softHyphen/>
            </w:r>
            <w:r w:rsidRPr="00381E6D">
              <w:rPr>
                <w:rFonts w:ascii="Arial" w:hAnsi="Arial" w:cs="Arial"/>
                <w:color w:val="0000FF"/>
                <w:sz w:val="20"/>
                <w:szCs w:val="20"/>
              </w:rPr>
              <w:t>heiten und biochemische Prozesse, um daraus abzuleiten, dass Stoffwech</w:t>
            </w:r>
            <w:r w:rsidR="00381E6D">
              <w:rPr>
                <w:rFonts w:ascii="Arial" w:hAnsi="Arial" w:cs="Arial"/>
                <w:color w:val="0000FF"/>
                <w:sz w:val="20"/>
                <w:szCs w:val="20"/>
              </w:rPr>
              <w:softHyphen/>
            </w:r>
            <w:r w:rsidRPr="00381E6D">
              <w:rPr>
                <w:rFonts w:ascii="Arial" w:hAnsi="Arial" w:cs="Arial"/>
                <w:color w:val="0000FF"/>
                <w:sz w:val="20"/>
                <w:szCs w:val="20"/>
              </w:rPr>
              <w:t>selwege von Pflanzen eine Angepasstheit an unterschiedliche Standorte sind.</w:t>
            </w:r>
          </w:p>
        </w:tc>
      </w:tr>
      <w:tr w:rsidR="00CA3952" w:rsidRPr="008E3A37" w14:paraId="21B917ED" w14:textId="77777777" w:rsidTr="00974A20">
        <w:tc>
          <w:tcPr>
            <w:tcW w:w="8926" w:type="dxa"/>
            <w:gridSpan w:val="2"/>
            <w:shd w:val="clear" w:color="auto" w:fill="DBDBDB" w:themeFill="accent3" w:themeFillTint="66"/>
          </w:tcPr>
          <w:p w14:paraId="3CCC0667" w14:textId="3D11450C" w:rsidR="00CA3952" w:rsidRPr="00B6581A" w:rsidRDefault="00A524FD" w:rsidP="00BA60E6">
            <w:pPr>
              <w:rPr>
                <w:i/>
                <w:sz w:val="22"/>
                <w:szCs w:val="22"/>
              </w:rPr>
            </w:pPr>
            <w:r w:rsidRPr="00B6581A">
              <w:rPr>
                <w:b/>
                <w:bCs/>
                <w:i/>
                <w:sz w:val="22"/>
                <w:szCs w:val="22"/>
              </w:rPr>
              <w:t>Das ist neu</w:t>
            </w:r>
            <w:r w:rsidRPr="00B6581A">
              <w:rPr>
                <w:i/>
                <w:sz w:val="22"/>
                <w:szCs w:val="22"/>
              </w:rPr>
              <w:t xml:space="preserve"> gegenüber der Kursphase im G8:</w:t>
            </w:r>
          </w:p>
          <w:p w14:paraId="5A92B420" w14:textId="18FBE12C" w:rsidR="00FA7BBC" w:rsidRPr="00B6581A" w:rsidRDefault="00FA7BBC" w:rsidP="00BA60E6">
            <w:pPr>
              <w:rPr>
                <w:i/>
                <w:sz w:val="22"/>
                <w:szCs w:val="22"/>
              </w:rPr>
            </w:pPr>
            <w:r w:rsidRPr="00B6581A">
              <w:rPr>
                <w:i/>
                <w:sz w:val="22"/>
                <w:szCs w:val="22"/>
              </w:rPr>
              <w:t xml:space="preserve">– </w:t>
            </w:r>
            <w:r w:rsidR="00043306" w:rsidRPr="00B6581A">
              <w:rPr>
                <w:i/>
                <w:sz w:val="22"/>
                <w:szCs w:val="22"/>
              </w:rPr>
              <w:t>konkrete Anforderungen zur Betrachtung der Photosynthese-Gleichung</w:t>
            </w:r>
          </w:p>
          <w:p w14:paraId="11FA0FA8" w14:textId="7B045636" w:rsidR="00043306" w:rsidRPr="00B6581A" w:rsidRDefault="00043306" w:rsidP="00BA60E6">
            <w:pPr>
              <w:rPr>
                <w:i/>
                <w:sz w:val="22"/>
                <w:szCs w:val="22"/>
              </w:rPr>
            </w:pPr>
            <w:r w:rsidRPr="00B6581A">
              <w:rPr>
                <w:i/>
                <w:sz w:val="22"/>
                <w:szCs w:val="22"/>
              </w:rPr>
              <w:t>– Begriffe „Assimilation“ und „photoautotroph“</w:t>
            </w:r>
          </w:p>
          <w:p w14:paraId="706C5165" w14:textId="3FBAE30B" w:rsidR="00043306" w:rsidRPr="00B6581A" w:rsidRDefault="00043306" w:rsidP="00BA60E6">
            <w:pPr>
              <w:rPr>
                <w:i/>
                <w:sz w:val="22"/>
                <w:szCs w:val="22"/>
              </w:rPr>
            </w:pPr>
            <w:r w:rsidRPr="00B6581A">
              <w:rPr>
                <w:i/>
                <w:sz w:val="22"/>
                <w:szCs w:val="22"/>
              </w:rPr>
              <w:t>– Zusammenfassung aller experimentellen Untersuchungen zur Photo</w:t>
            </w:r>
            <w:r w:rsidRPr="00B6581A">
              <w:rPr>
                <w:i/>
                <w:sz w:val="22"/>
                <w:szCs w:val="22"/>
              </w:rPr>
              <w:softHyphen/>
              <w:t>synthese im sel</w:t>
            </w:r>
            <w:r w:rsidR="00BB5130" w:rsidRPr="00B6581A">
              <w:rPr>
                <w:i/>
                <w:sz w:val="22"/>
                <w:szCs w:val="22"/>
              </w:rPr>
              <w:softHyphen/>
            </w:r>
            <w:r w:rsidRPr="00B6581A">
              <w:rPr>
                <w:i/>
                <w:sz w:val="22"/>
                <w:szCs w:val="22"/>
              </w:rPr>
              <w:t>ben Unter</w:t>
            </w:r>
            <w:r w:rsidR="00B6581A">
              <w:rPr>
                <w:i/>
                <w:sz w:val="22"/>
                <w:szCs w:val="22"/>
              </w:rPr>
              <w:softHyphen/>
            </w:r>
            <w:r w:rsidRPr="00B6581A">
              <w:rPr>
                <w:i/>
                <w:sz w:val="22"/>
                <w:szCs w:val="22"/>
              </w:rPr>
              <w:t>punkt; Maßnahmen zur Ertragssteigerung</w:t>
            </w:r>
          </w:p>
          <w:p w14:paraId="52395807" w14:textId="2E1B2594" w:rsidR="00043306" w:rsidRPr="00B6581A" w:rsidRDefault="00043306" w:rsidP="00BA60E6">
            <w:pPr>
              <w:rPr>
                <w:i/>
                <w:sz w:val="22"/>
                <w:szCs w:val="22"/>
              </w:rPr>
            </w:pPr>
            <w:r w:rsidRPr="00B6581A">
              <w:rPr>
                <w:i/>
                <w:sz w:val="22"/>
                <w:szCs w:val="22"/>
              </w:rPr>
              <w:t>– Betonung der Photosynthese-Farbstoffe mit Chromatographie</w:t>
            </w:r>
          </w:p>
          <w:p w14:paraId="627D6306" w14:textId="590FD5CE" w:rsidR="00043306" w:rsidRPr="00B6581A" w:rsidRDefault="00043306" w:rsidP="00BA60E6">
            <w:pPr>
              <w:rPr>
                <w:i/>
                <w:sz w:val="22"/>
                <w:szCs w:val="22"/>
              </w:rPr>
            </w:pPr>
            <w:r w:rsidRPr="00B6581A">
              <w:rPr>
                <w:i/>
                <w:sz w:val="22"/>
                <w:szCs w:val="22"/>
              </w:rPr>
              <w:t>– der gesamte Abschnitt zu den Angepasstheiten der Pflanze an die Photosynthese</w:t>
            </w:r>
          </w:p>
          <w:p w14:paraId="1B05232A" w14:textId="131D6A7C" w:rsidR="00A524FD" w:rsidRPr="00B6581A" w:rsidRDefault="00043306" w:rsidP="00BA60E6">
            <w:pPr>
              <w:rPr>
                <w:i/>
                <w:sz w:val="22"/>
                <w:szCs w:val="22"/>
              </w:rPr>
            </w:pPr>
            <w:r w:rsidRPr="00B6581A">
              <w:rPr>
                <w:i/>
                <w:sz w:val="22"/>
                <w:szCs w:val="22"/>
              </w:rPr>
              <w:t>– konkrete Anforderungen zum energetischen Modell der lichtabhängi</w:t>
            </w:r>
            <w:r w:rsidR="006328C3" w:rsidRPr="00B6581A">
              <w:rPr>
                <w:i/>
                <w:sz w:val="22"/>
                <w:szCs w:val="22"/>
              </w:rPr>
              <w:softHyphen/>
            </w:r>
            <w:r w:rsidRPr="00B6581A">
              <w:rPr>
                <w:i/>
                <w:sz w:val="22"/>
                <w:szCs w:val="22"/>
              </w:rPr>
              <w:t>gen Reaktio</w:t>
            </w:r>
            <w:r w:rsidR="00BB5130" w:rsidRPr="00B6581A">
              <w:rPr>
                <w:i/>
                <w:sz w:val="22"/>
                <w:szCs w:val="22"/>
              </w:rPr>
              <w:softHyphen/>
            </w:r>
            <w:r w:rsidRPr="00B6581A">
              <w:rPr>
                <w:i/>
                <w:sz w:val="22"/>
                <w:szCs w:val="22"/>
              </w:rPr>
              <w:t>nen; Wieder</w:t>
            </w:r>
            <w:r w:rsidR="00B6581A">
              <w:rPr>
                <w:i/>
                <w:sz w:val="22"/>
                <w:szCs w:val="22"/>
              </w:rPr>
              <w:softHyphen/>
            </w:r>
            <w:r w:rsidRPr="00B6581A">
              <w:rPr>
                <w:i/>
                <w:sz w:val="22"/>
                <w:szCs w:val="22"/>
              </w:rPr>
              <w:t>holung des ATP</w:t>
            </w:r>
            <w:r w:rsidR="00B6581A">
              <w:rPr>
                <w:i/>
                <w:sz w:val="22"/>
                <w:szCs w:val="22"/>
              </w:rPr>
              <w:t>-</w:t>
            </w:r>
            <w:r w:rsidRPr="00B6581A">
              <w:rPr>
                <w:i/>
                <w:sz w:val="22"/>
                <w:szCs w:val="22"/>
              </w:rPr>
              <w:t>ADP-Systems</w:t>
            </w:r>
          </w:p>
          <w:p w14:paraId="5F8D0C53" w14:textId="77777777" w:rsidR="00005E2A" w:rsidRDefault="00D00622" w:rsidP="00BA60E6">
            <w:pPr>
              <w:rPr>
                <w:i/>
                <w:sz w:val="22"/>
                <w:szCs w:val="22"/>
              </w:rPr>
            </w:pPr>
            <w:r w:rsidRPr="00B6581A">
              <w:rPr>
                <w:i/>
                <w:sz w:val="22"/>
                <w:szCs w:val="22"/>
              </w:rPr>
              <w:lastRenderedPageBreak/>
              <w:t xml:space="preserve">– </w:t>
            </w:r>
            <w:r w:rsidR="008525EE" w:rsidRPr="00B6581A">
              <w:rPr>
                <w:i/>
                <w:sz w:val="22"/>
                <w:szCs w:val="22"/>
              </w:rPr>
              <w:t>konkrete Nennung von NADPH</w:t>
            </w:r>
            <w:r w:rsidR="00974A20">
              <w:rPr>
                <w:i/>
                <w:sz w:val="22"/>
                <w:szCs w:val="22"/>
              </w:rPr>
              <w:t xml:space="preserve">; </w:t>
            </w:r>
            <w:r w:rsidRPr="00B6581A">
              <w:rPr>
                <w:i/>
                <w:sz w:val="22"/>
                <w:szCs w:val="22"/>
              </w:rPr>
              <w:t xml:space="preserve">Ersatz der </w:t>
            </w:r>
            <w:r w:rsidR="00005E2A">
              <w:rPr>
                <w:i/>
                <w:sz w:val="22"/>
                <w:szCs w:val="22"/>
              </w:rPr>
              <w:t>Stoff-</w:t>
            </w:r>
            <w:r w:rsidRPr="00B6581A">
              <w:rPr>
                <w:i/>
                <w:sz w:val="22"/>
                <w:szCs w:val="22"/>
              </w:rPr>
              <w:t>Bezeichnung</w:t>
            </w:r>
            <w:r w:rsidR="00621D14">
              <w:rPr>
                <w:i/>
                <w:sz w:val="22"/>
                <w:szCs w:val="22"/>
              </w:rPr>
              <w:t>en</w:t>
            </w:r>
            <w:r w:rsidRPr="00B6581A">
              <w:rPr>
                <w:i/>
                <w:sz w:val="22"/>
                <w:szCs w:val="22"/>
              </w:rPr>
              <w:t xml:space="preserve"> „NADPH/H</w:t>
            </w:r>
            <w:r w:rsidRPr="00B6581A">
              <w:rPr>
                <w:i/>
                <w:sz w:val="22"/>
                <w:szCs w:val="22"/>
                <w:vertAlign w:val="superscript"/>
              </w:rPr>
              <w:t>+</w:t>
            </w:r>
            <w:r w:rsidRPr="00B6581A">
              <w:rPr>
                <w:i/>
                <w:sz w:val="22"/>
                <w:szCs w:val="22"/>
              </w:rPr>
              <w:t xml:space="preserve">“ </w:t>
            </w:r>
            <w:r w:rsidR="00621D14">
              <w:rPr>
                <w:i/>
                <w:sz w:val="22"/>
                <w:szCs w:val="22"/>
              </w:rPr>
              <w:t xml:space="preserve">bzw. </w:t>
            </w:r>
          </w:p>
          <w:p w14:paraId="626B16BF" w14:textId="406B1ACB" w:rsidR="00D00622" w:rsidRPr="00B6581A" w:rsidRDefault="00621D14" w:rsidP="00BA60E6">
            <w:pPr>
              <w:rPr>
                <w:i/>
                <w:sz w:val="22"/>
                <w:szCs w:val="22"/>
              </w:rPr>
            </w:pPr>
            <w:r>
              <w:rPr>
                <w:i/>
                <w:sz w:val="22"/>
                <w:szCs w:val="22"/>
              </w:rPr>
              <w:t>„NADPH + H</w:t>
            </w:r>
            <w:r w:rsidRPr="00621D14">
              <w:rPr>
                <w:i/>
                <w:sz w:val="22"/>
                <w:szCs w:val="22"/>
                <w:vertAlign w:val="superscript"/>
              </w:rPr>
              <w:t>+</w:t>
            </w:r>
            <w:r>
              <w:rPr>
                <w:i/>
                <w:sz w:val="22"/>
                <w:szCs w:val="22"/>
              </w:rPr>
              <w:t xml:space="preserve">“ </w:t>
            </w:r>
            <w:r w:rsidR="00D00622" w:rsidRPr="00B6581A">
              <w:rPr>
                <w:i/>
                <w:sz w:val="22"/>
                <w:szCs w:val="22"/>
              </w:rPr>
              <w:t>durch „NADPH“</w:t>
            </w:r>
            <w:r w:rsidR="00005E2A">
              <w:rPr>
                <w:i/>
                <w:sz w:val="22"/>
                <w:szCs w:val="22"/>
              </w:rPr>
              <w:t xml:space="preserve"> (in stöchiometrischen Darstellungen muss das H</w:t>
            </w:r>
            <w:r w:rsidR="00005E2A" w:rsidRPr="00005E2A">
              <w:rPr>
                <w:i/>
                <w:sz w:val="22"/>
                <w:szCs w:val="22"/>
                <w:vertAlign w:val="superscript"/>
              </w:rPr>
              <w:t>+</w:t>
            </w:r>
            <w:r w:rsidR="00005E2A">
              <w:rPr>
                <w:i/>
                <w:sz w:val="22"/>
                <w:szCs w:val="22"/>
              </w:rPr>
              <w:t xml:space="preserve"> aber geschrieben werden)</w:t>
            </w:r>
          </w:p>
          <w:p w14:paraId="447508CE" w14:textId="77777777" w:rsidR="00043306" w:rsidRPr="00B6581A" w:rsidRDefault="00043306" w:rsidP="00BA60E6">
            <w:pPr>
              <w:rPr>
                <w:i/>
                <w:sz w:val="22"/>
                <w:szCs w:val="22"/>
              </w:rPr>
            </w:pPr>
            <w:r w:rsidRPr="00B6581A">
              <w:rPr>
                <w:i/>
                <w:sz w:val="22"/>
                <w:szCs w:val="22"/>
              </w:rPr>
              <w:t xml:space="preserve">– konkrete Anforderungen zum Calvin-Zyklus </w:t>
            </w:r>
          </w:p>
          <w:p w14:paraId="7441D3B1" w14:textId="76883D64" w:rsidR="00043306" w:rsidRPr="00B6581A" w:rsidRDefault="00043306" w:rsidP="00BA60E6">
            <w:pPr>
              <w:rPr>
                <w:i/>
                <w:sz w:val="22"/>
                <w:szCs w:val="22"/>
              </w:rPr>
            </w:pPr>
            <w:r w:rsidRPr="00B6581A">
              <w:rPr>
                <w:i/>
                <w:sz w:val="22"/>
                <w:szCs w:val="22"/>
              </w:rPr>
              <w:t>– C3- und C4-Pflanzen im erweiterten Anforderungsniveau</w:t>
            </w:r>
          </w:p>
        </w:tc>
        <w:tc>
          <w:tcPr>
            <w:tcW w:w="5634" w:type="dxa"/>
            <w:gridSpan w:val="2"/>
            <w:shd w:val="clear" w:color="auto" w:fill="DBDBDB" w:themeFill="accent3" w:themeFillTint="66"/>
          </w:tcPr>
          <w:p w14:paraId="6340A7A2" w14:textId="77777777" w:rsidR="00CA3952" w:rsidRPr="00B6581A" w:rsidRDefault="00507091" w:rsidP="00BA60E6">
            <w:pPr>
              <w:rPr>
                <w:i/>
                <w:sz w:val="22"/>
                <w:szCs w:val="22"/>
              </w:rPr>
            </w:pPr>
            <w:r w:rsidRPr="00B6581A">
              <w:rPr>
                <w:b/>
                <w:bCs/>
                <w:i/>
                <w:sz w:val="22"/>
                <w:szCs w:val="22"/>
              </w:rPr>
              <w:lastRenderedPageBreak/>
              <w:t>Das wurde weggelassen</w:t>
            </w:r>
            <w:r w:rsidRPr="00B6581A">
              <w:rPr>
                <w:i/>
                <w:sz w:val="22"/>
                <w:szCs w:val="22"/>
              </w:rPr>
              <w:t xml:space="preserve"> gegenüber der Kursphase im G8:</w:t>
            </w:r>
          </w:p>
          <w:p w14:paraId="71B6B1E6" w14:textId="7C17CA01" w:rsidR="00FA7BBC" w:rsidRPr="00B6581A" w:rsidRDefault="00FA7BBC" w:rsidP="00BA60E6">
            <w:pPr>
              <w:rPr>
                <w:i/>
                <w:sz w:val="22"/>
                <w:szCs w:val="22"/>
              </w:rPr>
            </w:pPr>
            <w:r w:rsidRPr="00B6581A">
              <w:rPr>
                <w:i/>
                <w:sz w:val="22"/>
                <w:szCs w:val="22"/>
              </w:rPr>
              <w:t>– Betonung der Übertragung von Wasserstoff als Möglichkeit zur Energieübertragung</w:t>
            </w:r>
          </w:p>
          <w:p w14:paraId="1914C045" w14:textId="69B443B9" w:rsidR="00A25CE5" w:rsidRPr="00B6581A" w:rsidRDefault="00A25CE5" w:rsidP="00BA60E6">
            <w:pPr>
              <w:rPr>
                <w:i/>
                <w:sz w:val="22"/>
                <w:szCs w:val="22"/>
              </w:rPr>
            </w:pPr>
            <w:r w:rsidRPr="00B6581A">
              <w:rPr>
                <w:i/>
                <w:sz w:val="22"/>
                <w:szCs w:val="22"/>
              </w:rPr>
              <w:t>– experimentelle Hinweise auf die Existenz zweier Redoxsysteme (kom</w:t>
            </w:r>
            <w:r w:rsidR="006328C3" w:rsidRPr="00B6581A">
              <w:rPr>
                <w:i/>
                <w:sz w:val="22"/>
                <w:szCs w:val="22"/>
              </w:rPr>
              <w:softHyphen/>
            </w:r>
            <w:r w:rsidRPr="00B6581A">
              <w:rPr>
                <w:i/>
                <w:sz w:val="22"/>
                <w:szCs w:val="22"/>
              </w:rPr>
              <w:t>binierte Versuche zur Abhängigkeit von Temperatur und Lichtstärke sowie Hill-Reaktion)</w:t>
            </w:r>
          </w:p>
          <w:p w14:paraId="1440B853" w14:textId="77777777" w:rsidR="00A25CE5" w:rsidRPr="00B6581A" w:rsidRDefault="00A25CE5" w:rsidP="00BA60E6">
            <w:pPr>
              <w:rPr>
                <w:i/>
                <w:sz w:val="22"/>
                <w:szCs w:val="22"/>
              </w:rPr>
            </w:pPr>
            <w:r w:rsidRPr="00B6581A">
              <w:rPr>
                <w:i/>
                <w:sz w:val="22"/>
                <w:szCs w:val="22"/>
              </w:rPr>
              <w:t>– Tracer-Methode im grundlegenden Anforderungsniveau</w:t>
            </w:r>
          </w:p>
          <w:p w14:paraId="1C631F6B" w14:textId="7EA30DBE" w:rsidR="00043306" w:rsidRPr="00B6581A" w:rsidRDefault="00043306" w:rsidP="00BA60E6">
            <w:pPr>
              <w:rPr>
                <w:i/>
                <w:sz w:val="22"/>
                <w:szCs w:val="22"/>
              </w:rPr>
            </w:pPr>
            <w:r w:rsidRPr="00B6581A">
              <w:rPr>
                <w:i/>
                <w:sz w:val="22"/>
                <w:szCs w:val="22"/>
              </w:rPr>
              <w:t>– experimentelle Untersuchung von Photosynthese-Faktoren</w:t>
            </w:r>
          </w:p>
        </w:tc>
      </w:tr>
      <w:tr w:rsidR="00CE27A4" w:rsidRPr="008E3A37" w14:paraId="626982D8" w14:textId="77777777" w:rsidTr="00CE27A4">
        <w:tc>
          <w:tcPr>
            <w:tcW w:w="14560" w:type="dxa"/>
            <w:gridSpan w:val="4"/>
            <w:shd w:val="clear" w:color="auto" w:fill="FBE4D5" w:themeFill="accent2" w:themeFillTint="33"/>
          </w:tcPr>
          <w:p w14:paraId="2370A0C0" w14:textId="398CAC8A" w:rsidR="00CE27A4" w:rsidRDefault="00507091" w:rsidP="00BA60E6">
            <w:pPr>
              <w:rPr>
                <w:b/>
                <w:bCs/>
                <w:i/>
                <w:sz w:val="22"/>
                <w:szCs w:val="22"/>
              </w:rPr>
            </w:pPr>
            <w:r w:rsidRPr="00B6581A">
              <w:rPr>
                <w:b/>
                <w:bCs/>
                <w:i/>
                <w:sz w:val="22"/>
                <w:szCs w:val="22"/>
              </w:rPr>
              <w:t>Vorwissen:</w:t>
            </w:r>
          </w:p>
          <w:p w14:paraId="64C40731" w14:textId="40B4C137" w:rsidR="00A52245" w:rsidRPr="00A52245" w:rsidRDefault="00A52245" w:rsidP="00BA60E6">
            <w:pPr>
              <w:rPr>
                <w:b/>
                <w:bCs/>
                <w:i/>
                <w:sz w:val="22"/>
                <w:szCs w:val="22"/>
              </w:rPr>
            </w:pPr>
            <w:r w:rsidRPr="00A52245">
              <w:rPr>
                <w:b/>
                <w:bCs/>
                <w:i/>
                <w:sz w:val="22"/>
                <w:szCs w:val="22"/>
              </w:rPr>
              <w:t>Jgst. 6 Biologie</w:t>
            </w:r>
            <w:r w:rsidRPr="00A52245">
              <w:rPr>
                <w:bCs/>
                <w:i/>
                <w:sz w:val="22"/>
                <w:szCs w:val="22"/>
              </w:rPr>
              <w:t>, Lernbereich 1.2: Samenpflanzen als Lebewesen &gt; Stoffwechsel: Stoff- und Energieumwandlung (Zellatmung, Photosynthese)</w:t>
            </w:r>
          </w:p>
          <w:p w14:paraId="602639E9" w14:textId="77777777" w:rsidR="00507091" w:rsidRDefault="00B6581A" w:rsidP="00B6581A">
            <w:pPr>
              <w:rPr>
                <w:rStyle w:val="HTMLZitat"/>
                <w:sz w:val="22"/>
                <w:szCs w:val="22"/>
              </w:rPr>
            </w:pPr>
            <w:r w:rsidRPr="00B6581A">
              <w:rPr>
                <w:rStyle w:val="HTMLZitat"/>
                <w:b/>
                <w:bCs/>
                <w:sz w:val="22"/>
                <w:szCs w:val="22"/>
              </w:rPr>
              <w:t>Jgst. 10 Biologie</w:t>
            </w:r>
            <w:r w:rsidRPr="00B6581A">
              <w:rPr>
                <w:rStyle w:val="HTMLZitat"/>
                <w:sz w:val="22"/>
                <w:szCs w:val="22"/>
              </w:rPr>
              <w:t>, Lernbereich 3.4: Energiebereitstellung durch Stoffwechselwege (ATP-ADP-System</w:t>
            </w:r>
            <w:r>
              <w:rPr>
                <w:rStyle w:val="HTMLZitat"/>
                <w:sz w:val="22"/>
                <w:szCs w:val="22"/>
              </w:rPr>
              <w:t>)</w:t>
            </w:r>
          </w:p>
          <w:p w14:paraId="10D31CF4" w14:textId="77777777" w:rsidR="008E33EB" w:rsidRDefault="008E33EB" w:rsidP="00B6581A">
            <w:pPr>
              <w:rPr>
                <w:i/>
                <w:sz w:val="22"/>
                <w:szCs w:val="22"/>
              </w:rPr>
            </w:pPr>
            <w:r w:rsidRPr="008E33EB">
              <w:rPr>
                <w:b/>
                <w:i/>
                <w:sz w:val="22"/>
                <w:szCs w:val="22"/>
              </w:rPr>
              <w:t>Jgst. 11 Chemie (nur NTG!)</w:t>
            </w:r>
            <w:r w:rsidRPr="008E33EB">
              <w:rPr>
                <w:i/>
                <w:sz w:val="22"/>
                <w:szCs w:val="22"/>
              </w:rPr>
              <w:t>, Lernbereich 2: Lebensmittelchemie (Kohlenhydrate, Fette, sekundäre Pflanzenstoffe, Farbstoffe)</w:t>
            </w:r>
          </w:p>
          <w:p w14:paraId="6F386AE3" w14:textId="5BB33F8E" w:rsidR="00395474" w:rsidRPr="008E33EB" w:rsidRDefault="00395474" w:rsidP="00B6581A">
            <w:pPr>
              <w:rPr>
                <w:i/>
                <w:sz w:val="22"/>
                <w:szCs w:val="22"/>
              </w:rPr>
            </w:pPr>
            <w:r w:rsidRPr="00395474">
              <w:rPr>
                <w:b/>
                <w:bCs/>
                <w:i/>
                <w:sz w:val="22"/>
                <w:szCs w:val="22"/>
              </w:rPr>
              <w:t>Jgst. 12 Chemie</w:t>
            </w:r>
            <w:r>
              <w:rPr>
                <w:i/>
                <w:sz w:val="22"/>
                <w:szCs w:val="22"/>
              </w:rPr>
              <w:t xml:space="preserve"> (gA, eA: kein obligater Kurs!), Lernbereich 8: Redoxgleichgewichte (Standardpotential)</w:t>
            </w:r>
          </w:p>
        </w:tc>
      </w:tr>
    </w:tbl>
    <w:p w14:paraId="432C66DB" w14:textId="3CAE8E68"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507091" w:rsidRPr="008E3A37" w14:paraId="347EE314" w14:textId="77777777" w:rsidTr="0002387D">
        <w:tc>
          <w:tcPr>
            <w:tcW w:w="10768" w:type="dxa"/>
            <w:gridSpan w:val="3"/>
            <w:shd w:val="clear" w:color="auto" w:fill="FFFF00"/>
          </w:tcPr>
          <w:p w14:paraId="1F7AFD1B" w14:textId="2996E1C1"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3.2:</w:t>
            </w:r>
            <w:r w:rsidR="001C2EAD" w:rsidRPr="008E3A37">
              <w:rPr>
                <w:rFonts w:ascii="Arial" w:hAnsi="Arial" w:cs="Arial"/>
                <w:b/>
                <w:bCs/>
                <w:sz w:val="28"/>
                <w:szCs w:val="28"/>
              </w:rPr>
              <w:t xml:space="preserve"> Umbau von Stoffen</w:t>
            </w:r>
          </w:p>
        </w:tc>
        <w:tc>
          <w:tcPr>
            <w:tcW w:w="3792" w:type="dxa"/>
            <w:shd w:val="clear" w:color="auto" w:fill="FFFF00"/>
            <w:vAlign w:val="center"/>
          </w:tcPr>
          <w:p w14:paraId="4C4CAC68" w14:textId="47FCDFC8" w:rsidR="00507091" w:rsidRPr="00893DB8" w:rsidRDefault="00507091"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10</w:t>
            </w:r>
            <w:r w:rsidR="0002387D" w:rsidRPr="00893DB8">
              <w:rPr>
                <w:rFonts w:ascii="Arial" w:hAnsi="Arial" w:cs="Arial"/>
                <w:iCs/>
                <w:sz w:val="22"/>
                <w:szCs w:val="22"/>
              </w:rPr>
              <w:t xml:space="preserve"> (eA) bzw. </w:t>
            </w:r>
            <w:r w:rsidR="0038046E" w:rsidRPr="00893DB8">
              <w:rPr>
                <w:rFonts w:ascii="Arial" w:hAnsi="Arial" w:cs="Arial"/>
                <w:iCs/>
                <w:sz w:val="22"/>
                <w:szCs w:val="22"/>
              </w:rPr>
              <w:t>5</w:t>
            </w:r>
            <w:r w:rsidR="0002387D" w:rsidRPr="00893DB8">
              <w:rPr>
                <w:rFonts w:ascii="Arial" w:hAnsi="Arial" w:cs="Arial"/>
                <w:iCs/>
                <w:sz w:val="22"/>
                <w:szCs w:val="22"/>
              </w:rPr>
              <w:t xml:space="preserve"> (gA) Stunden</w:t>
            </w:r>
          </w:p>
        </w:tc>
      </w:tr>
      <w:tr w:rsidR="00507091" w:rsidRPr="008E3A37" w14:paraId="34CD5698" w14:textId="77777777" w:rsidTr="00334199">
        <w:tc>
          <w:tcPr>
            <w:tcW w:w="7280" w:type="dxa"/>
            <w:shd w:val="clear" w:color="auto" w:fill="FFFFCC"/>
          </w:tcPr>
          <w:p w14:paraId="02DA532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0CB5C82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6AAF344E" w14:textId="77777777" w:rsidTr="00334199">
        <w:tc>
          <w:tcPr>
            <w:tcW w:w="7280" w:type="dxa"/>
            <w:shd w:val="clear" w:color="auto" w:fill="FFFFCC"/>
          </w:tcPr>
          <w:p w14:paraId="10A926C0" w14:textId="46036BE0" w:rsidR="00932311" w:rsidRPr="00381E6D" w:rsidRDefault="00932311" w:rsidP="005B6B92">
            <w:pPr>
              <w:numPr>
                <w:ilvl w:val="0"/>
                <w:numId w:val="7"/>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Übersicht über </w:t>
            </w:r>
            <w:r w:rsidRPr="00D00622">
              <w:rPr>
                <w:rFonts w:ascii="Arial" w:eastAsia="Times New Roman" w:hAnsi="Arial" w:cs="Arial"/>
                <w:sz w:val="20"/>
                <w:szCs w:val="20"/>
                <w:lang w:eastAsia="de-DE"/>
              </w:rPr>
              <w:t>die Bedeutung des Photosyntheseprodukts Glucose für die Pflanze, als Nährstoff für heterotrophe Lebewesen und für den enzymkata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lysierten Umbau in körpereigene Reserve- und Baustoffe (u. a. Kohlenhyd</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rate, Fette, Aminosäuren); </w:t>
            </w:r>
            <w:r w:rsidRPr="00D00622">
              <w:rPr>
                <w:rFonts w:ascii="Arial" w:eastAsia="Times New Roman" w:hAnsi="Arial" w:cs="Arial"/>
                <w:color w:val="0000FF"/>
                <w:sz w:val="20"/>
                <w:szCs w:val="20"/>
                <w:lang w:eastAsia="de-DE"/>
              </w:rPr>
              <w:t>sekundäre Pflanzenstoffe (z. B. Phytopharma</w:t>
            </w:r>
            <w:r w:rsidR="00381E6D" w:rsidRPr="00D00622">
              <w:rPr>
                <w:rFonts w:ascii="Arial" w:eastAsia="Times New Roman" w:hAnsi="Arial" w:cs="Arial"/>
                <w:color w:val="0000FF"/>
                <w:sz w:val="20"/>
                <w:szCs w:val="20"/>
                <w:lang w:eastAsia="de-DE"/>
              </w:rPr>
              <w:softHyphen/>
            </w:r>
            <w:r w:rsidRPr="00D00622">
              <w:rPr>
                <w:rFonts w:ascii="Arial" w:eastAsia="Times New Roman" w:hAnsi="Arial" w:cs="Arial"/>
                <w:color w:val="0000FF"/>
                <w:sz w:val="20"/>
                <w:szCs w:val="20"/>
                <w:lang w:eastAsia="de-DE"/>
              </w:rPr>
              <w:t>ka</w:t>
            </w:r>
            <w:r w:rsidRPr="00381E6D">
              <w:rPr>
                <w:rFonts w:ascii="Arial" w:eastAsia="Times New Roman" w:hAnsi="Arial" w:cs="Arial"/>
                <w:color w:val="0000FF"/>
                <w:sz w:val="20"/>
                <w:szCs w:val="20"/>
                <w:lang w:eastAsia="de-DE"/>
              </w:rPr>
              <w:t xml:space="preserve">); </w:t>
            </w:r>
            <w:r w:rsidRPr="00381E6D">
              <w:rPr>
                <w:rFonts w:ascii="Arial" w:eastAsia="Times New Roman" w:hAnsi="Arial" w:cs="Arial"/>
                <w:sz w:val="20"/>
                <w:szCs w:val="20"/>
                <w:lang w:eastAsia="de-DE"/>
              </w:rPr>
              <w:t xml:space="preserve">nachwachsende Rohstoffe </w:t>
            </w:r>
          </w:p>
          <w:p w14:paraId="44404308" w14:textId="77777777" w:rsidR="00932311" w:rsidRPr="00381E6D" w:rsidRDefault="00932311" w:rsidP="005B6B92">
            <w:pPr>
              <w:numPr>
                <w:ilvl w:val="0"/>
                <w:numId w:val="7"/>
              </w:numPr>
              <w:ind w:left="357" w:hanging="357"/>
              <w:rPr>
                <w:rFonts w:ascii="Arial" w:eastAsia="Times New Roman" w:hAnsi="Arial" w:cs="Arial"/>
                <w:color w:val="0000FF"/>
                <w:sz w:val="20"/>
                <w:szCs w:val="20"/>
                <w:lang w:eastAsia="de-DE"/>
              </w:rPr>
            </w:pPr>
            <w:r w:rsidRPr="00381E6D">
              <w:rPr>
                <w:rFonts w:ascii="Arial" w:eastAsia="Times New Roman" w:hAnsi="Arial" w:cs="Arial"/>
                <w:color w:val="0000FF"/>
                <w:sz w:val="20"/>
                <w:szCs w:val="20"/>
                <w:lang w:eastAsia="de-DE"/>
              </w:rPr>
              <w:t xml:space="preserve">Experimente zur Abhängigkeit der Enzymaktivität: Substratkonzentration, Temperatur, pH-Wert </w:t>
            </w:r>
          </w:p>
          <w:p w14:paraId="447FD36F" w14:textId="0C4E4D24" w:rsidR="00507091" w:rsidRPr="00381E6D" w:rsidRDefault="00932311" w:rsidP="005B6B92">
            <w:pPr>
              <w:numPr>
                <w:ilvl w:val="0"/>
                <w:numId w:val="7"/>
              </w:numPr>
              <w:ind w:left="357" w:hanging="357"/>
              <w:rPr>
                <w:rFonts w:ascii="Arial" w:hAnsi="Arial" w:cs="Arial"/>
                <w:sz w:val="20"/>
                <w:szCs w:val="20"/>
              </w:rPr>
            </w:pPr>
            <w:r w:rsidRPr="00381E6D">
              <w:rPr>
                <w:rFonts w:ascii="Arial" w:eastAsia="Times New Roman" w:hAnsi="Arial" w:cs="Arial"/>
                <w:sz w:val="20"/>
                <w:szCs w:val="20"/>
                <w:lang w:eastAsia="de-DE"/>
              </w:rPr>
              <w:t>Regulation von Stoffwechselprozessen durch Enzyme; reversible Hem</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mung (kompetitiv und nicht-kompetitiv); Aktivierung und Inaktivierung; Schlüssel-Schloss-Modell </w:t>
            </w:r>
          </w:p>
        </w:tc>
        <w:tc>
          <w:tcPr>
            <w:tcW w:w="7280" w:type="dxa"/>
            <w:gridSpan w:val="3"/>
            <w:shd w:val="clear" w:color="auto" w:fill="CCCCFF"/>
          </w:tcPr>
          <w:p w14:paraId="31837362" w14:textId="77777777" w:rsidR="00932311" w:rsidRPr="00381E6D" w:rsidRDefault="00932311" w:rsidP="005B6B92">
            <w:pPr>
              <w:pStyle w:val="Listenabsatz"/>
              <w:numPr>
                <w:ilvl w:val="0"/>
                <w:numId w:val="5"/>
              </w:numPr>
              <w:ind w:left="357" w:hanging="357"/>
              <w:contextualSpacing w:val="0"/>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beschreiben, wie Pflanzen Stoffe ineinander umwandeln können und so Biomasse aufbauen, die sie und heterotrophe Lebewesen als Grundlage für ihren Energie- und Baustoffwechsel nutzen. </w:t>
            </w:r>
          </w:p>
          <w:p w14:paraId="4A0184CB" w14:textId="77777777" w:rsidR="00932311" w:rsidRPr="00381E6D" w:rsidRDefault="00932311" w:rsidP="005B6B92">
            <w:pPr>
              <w:pStyle w:val="Listenabsatz"/>
              <w:numPr>
                <w:ilvl w:val="0"/>
                <w:numId w:val="5"/>
              </w:numPr>
              <w:ind w:left="357" w:hanging="357"/>
              <w:contextualSpacing w:val="0"/>
              <w:rPr>
                <w:rFonts w:ascii="Arial" w:hAnsi="Arial" w:cs="Arial"/>
                <w:sz w:val="20"/>
                <w:szCs w:val="20"/>
              </w:rPr>
            </w:pPr>
            <w:r w:rsidRPr="00381E6D">
              <w:rPr>
                <w:rFonts w:ascii="Arial" w:eastAsia="Times New Roman" w:hAnsi="Arial" w:cs="Arial"/>
                <w:color w:val="0000FF"/>
                <w:sz w:val="20"/>
                <w:szCs w:val="20"/>
                <w:lang w:eastAsia="de-DE"/>
              </w:rPr>
              <w:t xml:space="preserve">planen selbstständig Experimente, um Hypothesen zur Beeinflussung der Enzymaktivität durch verschiedene Außenfaktoren zu überprüfen. </w:t>
            </w:r>
          </w:p>
          <w:p w14:paraId="76DF2C30" w14:textId="14D1A707" w:rsidR="00507091" w:rsidRPr="00381E6D" w:rsidRDefault="00932311" w:rsidP="005B6B92">
            <w:pPr>
              <w:pStyle w:val="Listenabsatz"/>
              <w:numPr>
                <w:ilvl w:val="0"/>
                <w:numId w:val="5"/>
              </w:numPr>
              <w:ind w:left="357" w:hanging="357"/>
              <w:contextualSpacing w:val="0"/>
              <w:rPr>
                <w:rFonts w:ascii="Arial" w:hAnsi="Arial" w:cs="Arial"/>
                <w:sz w:val="20"/>
                <w:szCs w:val="20"/>
              </w:rPr>
            </w:pPr>
            <w:r w:rsidRPr="00381E6D">
              <w:rPr>
                <w:rFonts w:ascii="Arial" w:hAnsi="Arial" w:cs="Arial"/>
                <w:sz w:val="20"/>
                <w:szCs w:val="20"/>
              </w:rPr>
              <w:t>erklären die Bedeutung von Enzymen für eine bedarfsgerechte Regulation des Stoffwechsels.</w:t>
            </w:r>
          </w:p>
        </w:tc>
      </w:tr>
      <w:tr w:rsidR="00507091" w:rsidRPr="008E3A37" w14:paraId="69206D6D" w14:textId="77777777" w:rsidTr="00BB5130">
        <w:tc>
          <w:tcPr>
            <w:tcW w:w="8642" w:type="dxa"/>
            <w:gridSpan w:val="2"/>
            <w:shd w:val="clear" w:color="auto" w:fill="DBDBDB" w:themeFill="accent3" w:themeFillTint="66"/>
          </w:tcPr>
          <w:p w14:paraId="5E7692BD" w14:textId="77777777" w:rsidR="00507091" w:rsidRPr="00B6581A" w:rsidRDefault="00507091" w:rsidP="00334199">
            <w:pPr>
              <w:rPr>
                <w:i/>
                <w:sz w:val="22"/>
                <w:szCs w:val="22"/>
              </w:rPr>
            </w:pPr>
            <w:r w:rsidRPr="00B6581A">
              <w:rPr>
                <w:b/>
                <w:bCs/>
                <w:i/>
                <w:sz w:val="22"/>
                <w:szCs w:val="22"/>
              </w:rPr>
              <w:t>Das ist neu</w:t>
            </w:r>
            <w:r w:rsidRPr="00B6581A">
              <w:rPr>
                <w:i/>
                <w:sz w:val="22"/>
                <w:szCs w:val="22"/>
              </w:rPr>
              <w:t xml:space="preserve"> gegenüber der Kursphase im G8:</w:t>
            </w:r>
          </w:p>
          <w:p w14:paraId="7C093777" w14:textId="77777777" w:rsidR="00507091" w:rsidRPr="00B6581A" w:rsidRDefault="00544056" w:rsidP="00334199">
            <w:pPr>
              <w:rPr>
                <w:i/>
                <w:sz w:val="22"/>
                <w:szCs w:val="22"/>
              </w:rPr>
            </w:pPr>
            <w:r w:rsidRPr="00B6581A">
              <w:rPr>
                <w:i/>
                <w:sz w:val="22"/>
                <w:szCs w:val="22"/>
              </w:rPr>
              <w:t>– Umbau von Stoffen als eigener Abschnitt</w:t>
            </w:r>
          </w:p>
          <w:p w14:paraId="0917EA0E" w14:textId="77777777" w:rsidR="00544056" w:rsidRPr="00B6581A" w:rsidRDefault="00544056" w:rsidP="00334199">
            <w:pPr>
              <w:rPr>
                <w:i/>
                <w:sz w:val="22"/>
                <w:szCs w:val="22"/>
              </w:rPr>
            </w:pPr>
            <w:r w:rsidRPr="00B6581A">
              <w:rPr>
                <w:i/>
                <w:sz w:val="22"/>
                <w:szCs w:val="22"/>
              </w:rPr>
              <w:t>– Konkretisierung (</w:t>
            </w:r>
            <w:r w:rsidR="00D00622" w:rsidRPr="00B6581A">
              <w:rPr>
                <w:i/>
                <w:sz w:val="22"/>
                <w:szCs w:val="22"/>
              </w:rPr>
              <w:t>bzw. Erweiterung) der Anforderungen bezüglich der Stoffe, die aus Glucose synthetisiert werden</w:t>
            </w:r>
          </w:p>
          <w:p w14:paraId="3190A32C" w14:textId="77777777" w:rsidR="00D00622" w:rsidRPr="00B6581A" w:rsidRDefault="00D00622" w:rsidP="00334199">
            <w:pPr>
              <w:rPr>
                <w:i/>
                <w:sz w:val="22"/>
                <w:szCs w:val="22"/>
              </w:rPr>
            </w:pPr>
            <w:r w:rsidRPr="00B6581A">
              <w:rPr>
                <w:i/>
                <w:sz w:val="22"/>
                <w:szCs w:val="22"/>
              </w:rPr>
              <w:t>– obligate Experimente zu Enzymen im erweiterten Anforderungsniveau</w:t>
            </w:r>
          </w:p>
          <w:p w14:paraId="05E846EA" w14:textId="772F4377" w:rsidR="00D00622" w:rsidRPr="00B6581A" w:rsidRDefault="00D00622" w:rsidP="00334199">
            <w:pPr>
              <w:rPr>
                <w:i/>
                <w:sz w:val="22"/>
                <w:szCs w:val="22"/>
              </w:rPr>
            </w:pPr>
            <w:r w:rsidRPr="00B6581A">
              <w:rPr>
                <w:i/>
                <w:sz w:val="22"/>
                <w:szCs w:val="22"/>
              </w:rPr>
              <w:t>– Regulation von Stoffwechselprozessen durch Enzyme an dieser Stelle</w:t>
            </w:r>
          </w:p>
        </w:tc>
        <w:tc>
          <w:tcPr>
            <w:tcW w:w="5918" w:type="dxa"/>
            <w:gridSpan w:val="2"/>
            <w:shd w:val="clear" w:color="auto" w:fill="DBDBDB" w:themeFill="accent3" w:themeFillTint="66"/>
          </w:tcPr>
          <w:p w14:paraId="47550681"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3AF521DA" w14:textId="401D758E" w:rsidR="00043306" w:rsidRPr="00B6581A" w:rsidRDefault="00043306" w:rsidP="00334199">
            <w:pPr>
              <w:rPr>
                <w:i/>
                <w:sz w:val="22"/>
                <w:szCs w:val="22"/>
              </w:rPr>
            </w:pPr>
            <w:r w:rsidRPr="00B6581A">
              <w:rPr>
                <w:i/>
                <w:sz w:val="22"/>
                <w:szCs w:val="22"/>
              </w:rPr>
              <w:t>– Transport der Photosyntheseprodukte in der Pflanze</w:t>
            </w:r>
          </w:p>
        </w:tc>
      </w:tr>
      <w:tr w:rsidR="00507091" w:rsidRPr="008E3A37" w14:paraId="57D7A604" w14:textId="77777777" w:rsidTr="00334199">
        <w:tc>
          <w:tcPr>
            <w:tcW w:w="14560" w:type="dxa"/>
            <w:gridSpan w:val="4"/>
            <w:shd w:val="clear" w:color="auto" w:fill="FBE4D5" w:themeFill="accent2" w:themeFillTint="33"/>
          </w:tcPr>
          <w:p w14:paraId="1C12E882" w14:textId="53F47D33" w:rsidR="00507091" w:rsidRDefault="00507091" w:rsidP="00334199">
            <w:pPr>
              <w:rPr>
                <w:b/>
                <w:bCs/>
                <w:i/>
                <w:sz w:val="22"/>
                <w:szCs w:val="22"/>
              </w:rPr>
            </w:pPr>
            <w:r w:rsidRPr="00B6581A">
              <w:rPr>
                <w:b/>
                <w:bCs/>
                <w:i/>
                <w:sz w:val="22"/>
                <w:szCs w:val="22"/>
              </w:rPr>
              <w:t>Vorwissen:</w:t>
            </w:r>
          </w:p>
          <w:p w14:paraId="6573E4E4" w14:textId="7E32C77B" w:rsidR="00594604" w:rsidRPr="00594604" w:rsidRDefault="00594604" w:rsidP="00334199">
            <w:pPr>
              <w:rPr>
                <w:bCs/>
                <w:i/>
                <w:sz w:val="22"/>
                <w:szCs w:val="22"/>
              </w:rPr>
            </w:pPr>
            <w:r>
              <w:rPr>
                <w:b/>
                <w:bCs/>
                <w:i/>
                <w:sz w:val="22"/>
                <w:szCs w:val="22"/>
              </w:rPr>
              <w:t>Jgst. 10 Biologie</w:t>
            </w:r>
            <w:r>
              <w:rPr>
                <w:bCs/>
                <w:i/>
                <w:sz w:val="22"/>
                <w:szCs w:val="22"/>
              </w:rPr>
              <w:t>, Lernbereich 3.2: Verdauung (Bau und Wirkung von Enzymen)</w:t>
            </w:r>
          </w:p>
          <w:p w14:paraId="1C6E8B03" w14:textId="544C9D6A" w:rsidR="00507091" w:rsidRPr="00B6581A" w:rsidRDefault="008E33EB" w:rsidP="00334199">
            <w:pPr>
              <w:rPr>
                <w:i/>
                <w:sz w:val="22"/>
                <w:szCs w:val="22"/>
              </w:rPr>
            </w:pPr>
            <w:r w:rsidRPr="008E33EB">
              <w:rPr>
                <w:b/>
                <w:i/>
                <w:sz w:val="22"/>
                <w:szCs w:val="22"/>
              </w:rPr>
              <w:t>Jgst. 11 Chemie (nur NTG!)</w:t>
            </w:r>
            <w:r w:rsidRPr="008E33EB">
              <w:rPr>
                <w:i/>
                <w:sz w:val="22"/>
                <w:szCs w:val="22"/>
              </w:rPr>
              <w:t>, Lernbereich 2: Lebensmittelchemie (Kohlenhydrate, Fette, sekundäre Pflanzenstoffe, Farbstoffe)</w:t>
            </w:r>
          </w:p>
        </w:tc>
      </w:tr>
    </w:tbl>
    <w:p w14:paraId="0F99EF38" w14:textId="77777777" w:rsidR="00507091" w:rsidRDefault="00507091" w:rsidP="00BA60E6">
      <w:pPr>
        <w:rPr>
          <w:rFonts w:ascii="Arial" w:hAnsi="Arial" w:cs="Arial"/>
        </w:rPr>
      </w:pPr>
    </w:p>
    <w:p w14:paraId="53EA43A9" w14:textId="77777777" w:rsidR="00D0137E" w:rsidRDefault="00D0137E" w:rsidP="00BA60E6">
      <w:pPr>
        <w:rPr>
          <w:rFonts w:ascii="Arial" w:hAnsi="Arial" w:cs="Arial"/>
        </w:rPr>
      </w:pPr>
    </w:p>
    <w:p w14:paraId="26C4DC72" w14:textId="77777777" w:rsidR="0079710F" w:rsidRDefault="0079710F" w:rsidP="00BA60E6">
      <w:pPr>
        <w:rPr>
          <w:rFonts w:ascii="Arial" w:hAnsi="Arial" w:cs="Arial"/>
        </w:rPr>
      </w:pPr>
    </w:p>
    <w:p w14:paraId="4F003A38" w14:textId="77777777" w:rsidR="0079710F" w:rsidRDefault="0079710F" w:rsidP="00BA60E6">
      <w:pPr>
        <w:rPr>
          <w:rFonts w:ascii="Arial" w:hAnsi="Arial" w:cs="Arial"/>
        </w:rPr>
      </w:pPr>
    </w:p>
    <w:p w14:paraId="1218A013" w14:textId="77777777" w:rsidR="0079710F" w:rsidRDefault="0079710F" w:rsidP="00BA60E6">
      <w:pPr>
        <w:rPr>
          <w:rFonts w:ascii="Arial" w:hAnsi="Arial" w:cs="Arial"/>
        </w:rPr>
      </w:pPr>
    </w:p>
    <w:p w14:paraId="04A53865" w14:textId="77777777" w:rsidR="0079710F" w:rsidRDefault="0079710F" w:rsidP="00BA60E6">
      <w:pPr>
        <w:rPr>
          <w:rFonts w:ascii="Arial" w:hAnsi="Arial" w:cs="Arial"/>
        </w:rPr>
      </w:pPr>
    </w:p>
    <w:p w14:paraId="75A327FE" w14:textId="77777777" w:rsidR="00D0137E" w:rsidRPr="008E3A37" w:rsidRDefault="00D0137E" w:rsidP="00BA60E6">
      <w:pPr>
        <w:rPr>
          <w:rFonts w:ascii="Arial" w:hAnsi="Arial" w:cs="Arial"/>
        </w:rPr>
      </w:pPr>
    </w:p>
    <w:tbl>
      <w:tblPr>
        <w:tblStyle w:val="Tabellenraster"/>
        <w:tblW w:w="0" w:type="auto"/>
        <w:tblLook w:val="04A0" w:firstRow="1" w:lastRow="0" w:firstColumn="1" w:lastColumn="0" w:noHBand="0" w:noVBand="1"/>
      </w:tblPr>
      <w:tblGrid>
        <w:gridCol w:w="7280"/>
        <w:gridCol w:w="3063"/>
        <w:gridCol w:w="425"/>
        <w:gridCol w:w="3792"/>
      </w:tblGrid>
      <w:tr w:rsidR="00507091" w:rsidRPr="008E3A37" w14:paraId="17A69525" w14:textId="77777777" w:rsidTr="0002387D">
        <w:tc>
          <w:tcPr>
            <w:tcW w:w="10768" w:type="dxa"/>
            <w:gridSpan w:val="3"/>
            <w:shd w:val="clear" w:color="auto" w:fill="FFFF00"/>
          </w:tcPr>
          <w:p w14:paraId="652F2F3E" w14:textId="32BF7DEA"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3.3:</w:t>
            </w:r>
            <w:r w:rsidR="001C2EAD" w:rsidRPr="008E3A37">
              <w:rPr>
                <w:rFonts w:ascii="Arial" w:hAnsi="Arial" w:cs="Arial"/>
                <w:b/>
                <w:bCs/>
                <w:sz w:val="28"/>
                <w:szCs w:val="28"/>
              </w:rPr>
              <w:t xml:space="preserve"> Abbau von energiereichen Stoffen (Dissimilation)</w:t>
            </w:r>
          </w:p>
        </w:tc>
        <w:tc>
          <w:tcPr>
            <w:tcW w:w="3792" w:type="dxa"/>
            <w:shd w:val="clear" w:color="auto" w:fill="FFFF00"/>
            <w:vAlign w:val="center"/>
          </w:tcPr>
          <w:p w14:paraId="5E344E24" w14:textId="4B21DA84" w:rsidR="00507091" w:rsidRPr="00893DB8" w:rsidRDefault="00507091"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9</w:t>
            </w:r>
            <w:r w:rsidR="0002387D" w:rsidRPr="00893DB8">
              <w:rPr>
                <w:rFonts w:ascii="Arial" w:hAnsi="Arial" w:cs="Arial"/>
                <w:iCs/>
                <w:sz w:val="22"/>
                <w:szCs w:val="22"/>
              </w:rPr>
              <w:t xml:space="preserve"> (eA) bzw. </w:t>
            </w:r>
            <w:r w:rsidR="0038046E" w:rsidRPr="00893DB8">
              <w:rPr>
                <w:rFonts w:ascii="Arial" w:hAnsi="Arial" w:cs="Arial"/>
                <w:iCs/>
                <w:sz w:val="22"/>
                <w:szCs w:val="22"/>
              </w:rPr>
              <w:t>5</w:t>
            </w:r>
            <w:r w:rsidR="0002387D" w:rsidRPr="00893DB8">
              <w:rPr>
                <w:rFonts w:ascii="Arial" w:hAnsi="Arial" w:cs="Arial"/>
                <w:iCs/>
                <w:sz w:val="22"/>
                <w:szCs w:val="22"/>
              </w:rPr>
              <w:t xml:space="preserve"> (gA) Stunden</w:t>
            </w:r>
          </w:p>
        </w:tc>
      </w:tr>
      <w:tr w:rsidR="00507091" w:rsidRPr="008E3A37" w14:paraId="3C5BACCD" w14:textId="77777777" w:rsidTr="00334199">
        <w:tc>
          <w:tcPr>
            <w:tcW w:w="7280" w:type="dxa"/>
            <w:shd w:val="clear" w:color="auto" w:fill="FFFFCC"/>
          </w:tcPr>
          <w:p w14:paraId="6CB46CA7"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60B9360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676BC3A8" w14:textId="77777777" w:rsidTr="00334199">
        <w:tc>
          <w:tcPr>
            <w:tcW w:w="7280" w:type="dxa"/>
            <w:shd w:val="clear" w:color="auto" w:fill="FFFFCC"/>
          </w:tcPr>
          <w:p w14:paraId="6087337D" w14:textId="73307C42"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Milchsäuregärung und alkoholische Gärung als Redoxreaktionen (Stoffum</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wandlung, Energieumwandlung, Energieentwertung): Glykolyse (Umset</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zung von Glucose zu Brenztraubensäure unter Bildung von ATP und NADH (ohne Strukturformeln)),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Bedeutung im Alltag </w:t>
            </w:r>
          </w:p>
          <w:p w14:paraId="3DCF1C53" w14:textId="3E21F894"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aerober Abbau durch Redoxreaktionen (Stoffumwandlung, Energieum</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wand</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lung, Energieentwertung) im Überblick: Glykolyse im Zytoplasma, Stofftransport zwischen Kompartimenten, Abbau von Brenztraubensäure im Mitochondrium zu Kohlenstoffdioxid mit Bildung von NADH und FADH</w:t>
            </w:r>
            <w:r w:rsidRPr="008D49AF">
              <w:rPr>
                <w:rFonts w:ascii="Arial" w:eastAsia="Times New Roman" w:hAnsi="Arial" w:cs="Arial"/>
                <w:sz w:val="20"/>
                <w:szCs w:val="20"/>
                <w:vertAlign w:val="subscript"/>
                <w:lang w:eastAsia="de-DE"/>
              </w:rPr>
              <w:t>2</w:t>
            </w:r>
            <w:r w:rsidRPr="008D49AF">
              <w:rPr>
                <w:rFonts w:ascii="Arial" w:eastAsia="Times New Roman" w:hAnsi="Arial" w:cs="Arial"/>
                <w:sz w:val="20"/>
                <w:szCs w:val="20"/>
                <w:lang w:eastAsia="de-DE"/>
              </w:rPr>
              <w:t xml:space="preserve"> als energiereiche Zwischenspeicher (oxidative Decarboxylierung, Tricarbon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säurezyklus),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und FAD durch Übertragung von Elektronen und Protonen auf Sauerstoff-Moleküle in der Atmungskette, </w:t>
            </w:r>
            <w:r w:rsidRPr="008D49AF">
              <w:rPr>
                <w:rFonts w:ascii="Arial" w:eastAsia="Times New Roman" w:hAnsi="Arial" w:cs="Arial"/>
                <w:color w:val="0000FF"/>
                <w:sz w:val="20"/>
                <w:szCs w:val="20"/>
                <w:lang w:eastAsia="de-DE"/>
              </w:rPr>
              <w:t xml:space="preserve">energetisches Modell der Atmungskette, </w:t>
            </w:r>
            <w:r w:rsidRPr="008D49AF">
              <w:rPr>
                <w:rFonts w:ascii="Arial" w:eastAsia="Times New Roman" w:hAnsi="Arial" w:cs="Arial"/>
                <w:sz w:val="20"/>
                <w:szCs w:val="20"/>
                <w:lang w:eastAsia="de-DE"/>
              </w:rPr>
              <w:t xml:space="preserve">Bildung eines Protonengradienten zur chemiosmotischen Bildung von ATP </w:t>
            </w:r>
          </w:p>
          <w:p w14:paraId="4D7E74CB" w14:textId="3BF1F8D9"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Vergleich Photosynthese und Zellatmung: Feinbau von Chloroplast und Mitochondrium (Kompartimentierung, Oberflächenvergrößerung, Membran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system); biochemische Prinzipien (Prinzip einer Elektronentransportkette, Protonengradient, Enzymkatalyse, Prinzip des zyklischen Prozesses, Zer</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legung in Teilschritte, ggf. weitere); Zusammenhang von auf- und abbauen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dem Stoffwechsel </w:t>
            </w:r>
          </w:p>
          <w:p w14:paraId="0B42958D" w14:textId="7A8DD5BB" w:rsidR="006348AA" w:rsidRPr="006348AA" w:rsidRDefault="00932311" w:rsidP="006348AA">
            <w:pPr>
              <w:numPr>
                <w:ilvl w:val="0"/>
                <w:numId w:val="8"/>
              </w:numPr>
              <w:ind w:left="357" w:hanging="357"/>
              <w:rPr>
                <w:rFonts w:ascii="Arial" w:hAnsi="Arial" w:cs="Arial"/>
                <w:sz w:val="20"/>
                <w:szCs w:val="20"/>
              </w:rPr>
            </w:pPr>
            <w:r w:rsidRPr="006348AA">
              <w:rPr>
                <w:rFonts w:ascii="Arial" w:eastAsia="Times New Roman" w:hAnsi="Arial" w:cs="Arial"/>
                <w:sz w:val="20"/>
                <w:szCs w:val="20"/>
                <w:lang w:eastAsia="de-DE"/>
              </w:rPr>
              <w:t>Stoff- und Energiebilanz des anaeroben bzw. aeroben Abbaus von Glu</w:t>
            </w:r>
            <w:r w:rsidR="007F0FDB">
              <w:rPr>
                <w:rFonts w:ascii="Arial" w:eastAsia="Times New Roman" w:hAnsi="Arial" w:cs="Arial"/>
                <w:sz w:val="20"/>
                <w:szCs w:val="20"/>
                <w:lang w:eastAsia="de-DE"/>
              </w:rPr>
              <w:t>c</w:t>
            </w:r>
            <w:r w:rsidRPr="006348AA">
              <w:rPr>
                <w:rFonts w:ascii="Arial" w:eastAsia="Times New Roman" w:hAnsi="Arial" w:cs="Arial"/>
                <w:sz w:val="20"/>
                <w:szCs w:val="20"/>
                <w:lang w:eastAsia="de-DE"/>
              </w:rPr>
              <w:t>o</w:t>
            </w:r>
            <w:r w:rsidR="008D49AF" w:rsidRPr="006348AA">
              <w:rPr>
                <w:rFonts w:ascii="Arial" w:eastAsia="Times New Roman" w:hAnsi="Arial" w:cs="Arial"/>
                <w:sz w:val="20"/>
                <w:szCs w:val="20"/>
                <w:lang w:eastAsia="de-DE"/>
              </w:rPr>
              <w:softHyphen/>
            </w:r>
            <w:r w:rsidRPr="006348AA">
              <w:rPr>
                <w:rFonts w:ascii="Arial" w:eastAsia="Times New Roman" w:hAnsi="Arial" w:cs="Arial"/>
                <w:sz w:val="20"/>
                <w:szCs w:val="20"/>
                <w:lang w:eastAsia="de-DE"/>
              </w:rPr>
              <w:t xml:space="preserve">se; </w:t>
            </w:r>
            <w:r w:rsidRPr="006348AA">
              <w:rPr>
                <w:rFonts w:ascii="Arial" w:eastAsia="Times New Roman" w:hAnsi="Arial" w:cs="Arial"/>
                <w:color w:val="0000FF"/>
                <w:sz w:val="20"/>
                <w:szCs w:val="20"/>
                <w:lang w:eastAsia="de-DE"/>
              </w:rPr>
              <w:t>flexible Anpassung von Stoffwechselwegen (Hefezellen, Skelettmuskel</w:t>
            </w:r>
            <w:r w:rsidR="008D49AF" w:rsidRPr="006348AA">
              <w:rPr>
                <w:rFonts w:ascii="Arial" w:eastAsia="Times New Roman" w:hAnsi="Arial" w:cs="Arial"/>
                <w:color w:val="0000FF"/>
                <w:sz w:val="20"/>
                <w:szCs w:val="20"/>
                <w:lang w:eastAsia="de-DE"/>
              </w:rPr>
              <w:softHyphen/>
            </w:r>
            <w:r w:rsidRPr="006348AA">
              <w:rPr>
                <w:rFonts w:ascii="Arial" w:eastAsia="Times New Roman" w:hAnsi="Arial" w:cs="Arial"/>
                <w:color w:val="0000FF"/>
                <w:sz w:val="20"/>
                <w:szCs w:val="20"/>
                <w:lang w:eastAsia="de-DE"/>
              </w:rPr>
              <w:t>zellen</w:t>
            </w:r>
            <w:r w:rsidR="00F57282" w:rsidRPr="006348AA">
              <w:rPr>
                <w:rFonts w:ascii="Arial" w:eastAsia="Times New Roman" w:hAnsi="Arial" w:cs="Arial"/>
                <w:color w:val="0000FF"/>
                <w:sz w:val="20"/>
                <w:szCs w:val="20"/>
                <w:lang w:eastAsia="de-DE"/>
              </w:rPr>
              <w:t>)</w:t>
            </w:r>
          </w:p>
          <w:p w14:paraId="2400F5AA" w14:textId="46BDC157" w:rsidR="00507091" w:rsidRPr="00F57282" w:rsidRDefault="00F57282" w:rsidP="00F57282">
            <w:pPr>
              <w:numPr>
                <w:ilvl w:val="0"/>
                <w:numId w:val="8"/>
              </w:numPr>
              <w:ind w:left="357" w:hanging="357"/>
              <w:rPr>
                <w:rFonts w:ascii="Arial" w:hAnsi="Arial" w:cs="Arial"/>
                <w:color w:val="0000FF"/>
                <w:sz w:val="20"/>
                <w:szCs w:val="20"/>
              </w:rPr>
            </w:pPr>
            <w:r w:rsidRPr="00F57282">
              <w:rPr>
                <w:rFonts w:ascii="Arial" w:hAnsi="Arial" w:cs="Arial"/>
                <w:color w:val="0000FF"/>
                <w:sz w:val="20"/>
                <w:szCs w:val="20"/>
              </w:rPr>
              <w:t xml:space="preserve">β-Oxidation </w:t>
            </w:r>
            <w:r w:rsidRPr="00F57282">
              <w:rPr>
                <w:rFonts w:ascii="Arial" w:eastAsia="Times New Roman" w:hAnsi="Arial" w:cs="Arial"/>
                <w:color w:val="0000FF"/>
                <w:sz w:val="20"/>
                <w:szCs w:val="20"/>
                <w:lang w:eastAsia="de-DE"/>
              </w:rPr>
              <w:t>vo</w:t>
            </w:r>
            <w:r w:rsidRPr="008D49AF">
              <w:rPr>
                <w:rFonts w:ascii="Arial" w:eastAsia="Times New Roman" w:hAnsi="Arial" w:cs="Arial"/>
                <w:color w:val="0000FF"/>
                <w:sz w:val="20"/>
                <w:szCs w:val="20"/>
                <w:lang w:eastAsia="de-DE"/>
              </w:rPr>
              <w:t>n Fettsäuren; Bedeutung von Fetten als</w:t>
            </w:r>
            <w:r>
              <w:rPr>
                <w:rFonts w:ascii="Arial" w:eastAsia="Times New Roman" w:hAnsi="Arial" w:cs="Arial"/>
                <w:color w:val="0000FF"/>
                <w:sz w:val="20"/>
                <w:szCs w:val="20"/>
                <w:lang w:eastAsia="de-DE"/>
              </w:rPr>
              <w:t xml:space="preserve"> Energiespeicher</w:t>
            </w:r>
          </w:p>
        </w:tc>
        <w:tc>
          <w:tcPr>
            <w:tcW w:w="7280" w:type="dxa"/>
            <w:gridSpan w:val="3"/>
            <w:shd w:val="clear" w:color="auto" w:fill="CCCCFF"/>
          </w:tcPr>
          <w:p w14:paraId="386AFF1C" w14:textId="77777777"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 xml:space="preserve">erklären die Bildung von ATP unter Sauerstoffmangelbedingungen mithilfe verschiedener anaerober Abbauwege von Glucose. </w:t>
            </w:r>
          </w:p>
          <w:p w14:paraId="7BC9A006" w14:textId="18466C18"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beschreiben im Überblick den aeroben Abbauweg von Glucose zu Kohlen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stoffdioxid, die Bildung von Energieäquivalenten und die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und FAD zur Aufrechterhaltung der Abbaureaktionen und vergleichen sie mit den aufbauenden Stoffwechselwegen der Photosynthese, um grund</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legende Prinzipien des Stoffwechsels abzuleiten. </w:t>
            </w:r>
          </w:p>
          <w:p w14:paraId="010D08A2" w14:textId="60ADA544"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erklären anhand eines Vergleichs der Stoff- und Energiebilanzen des aero</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ben und anaeroben Abbaus von Glucose, unter welchen Bedingungen die jeweiligen Abbauwege begünstigt werden. </w:t>
            </w:r>
          </w:p>
          <w:p w14:paraId="6C10EB77" w14:textId="00AA05A9" w:rsidR="00932311" w:rsidRPr="008D49AF" w:rsidRDefault="00932311" w:rsidP="005B6B92">
            <w:pPr>
              <w:pStyle w:val="Listenabsatz"/>
              <w:numPr>
                <w:ilvl w:val="0"/>
                <w:numId w:val="6"/>
              </w:numPr>
              <w:ind w:left="357" w:hanging="357"/>
              <w:contextualSpacing w:val="0"/>
              <w:rPr>
                <w:rFonts w:ascii="Arial" w:hAnsi="Arial" w:cs="Arial"/>
                <w:b/>
                <w:bCs/>
                <w:color w:val="0000FF"/>
                <w:sz w:val="20"/>
                <w:szCs w:val="20"/>
              </w:rPr>
            </w:pPr>
            <w:r w:rsidRPr="008D49AF">
              <w:rPr>
                <w:rFonts w:ascii="Arial" w:hAnsi="Arial" w:cs="Arial"/>
                <w:color w:val="0000FF"/>
                <w:sz w:val="20"/>
                <w:szCs w:val="20"/>
              </w:rPr>
              <w:t>erklären anhand eines Vergleichs der Stoff- und Energiebilanzen des aero</w:t>
            </w:r>
            <w:r w:rsidR="008D49AF">
              <w:rPr>
                <w:rFonts w:ascii="Arial" w:hAnsi="Arial" w:cs="Arial"/>
                <w:color w:val="0000FF"/>
                <w:sz w:val="20"/>
                <w:szCs w:val="20"/>
              </w:rPr>
              <w:softHyphen/>
            </w:r>
            <w:r w:rsidRPr="008D49AF">
              <w:rPr>
                <w:rFonts w:ascii="Arial" w:hAnsi="Arial" w:cs="Arial"/>
                <w:color w:val="0000FF"/>
                <w:sz w:val="20"/>
                <w:szCs w:val="20"/>
              </w:rPr>
              <w:t>ben Abbaus von Glucose und Fetten die besondere Eignung von Fetten als Energiespeicher.</w:t>
            </w:r>
          </w:p>
          <w:p w14:paraId="53DD2F48" w14:textId="77777777" w:rsidR="00507091" w:rsidRPr="008D49AF" w:rsidRDefault="00507091" w:rsidP="00334199">
            <w:pPr>
              <w:rPr>
                <w:rFonts w:ascii="Arial" w:hAnsi="Arial" w:cs="Arial"/>
                <w:sz w:val="20"/>
                <w:szCs w:val="20"/>
              </w:rPr>
            </w:pPr>
          </w:p>
        </w:tc>
      </w:tr>
      <w:tr w:rsidR="00507091" w:rsidRPr="008E3A37" w14:paraId="0D737B3F" w14:textId="77777777" w:rsidTr="0037234E">
        <w:tc>
          <w:tcPr>
            <w:tcW w:w="10343" w:type="dxa"/>
            <w:gridSpan w:val="2"/>
            <w:shd w:val="clear" w:color="auto" w:fill="DBDBDB" w:themeFill="accent3" w:themeFillTint="66"/>
          </w:tcPr>
          <w:p w14:paraId="2C3DF074" w14:textId="77777777" w:rsidR="00507091" w:rsidRPr="00B6581A" w:rsidRDefault="00507091" w:rsidP="00334199">
            <w:pPr>
              <w:rPr>
                <w:i/>
                <w:sz w:val="22"/>
                <w:szCs w:val="22"/>
              </w:rPr>
            </w:pPr>
            <w:r w:rsidRPr="00B6581A">
              <w:rPr>
                <w:b/>
                <w:bCs/>
                <w:i/>
                <w:sz w:val="22"/>
                <w:szCs w:val="22"/>
              </w:rPr>
              <w:t>Das ist neu</w:t>
            </w:r>
            <w:r w:rsidRPr="00B6581A">
              <w:rPr>
                <w:i/>
                <w:sz w:val="22"/>
                <w:szCs w:val="22"/>
              </w:rPr>
              <w:t xml:space="preserve"> gegenüber der Kursphase im G8:</w:t>
            </w:r>
          </w:p>
          <w:p w14:paraId="4976134F" w14:textId="77777777" w:rsidR="00507091" w:rsidRPr="00B6581A" w:rsidRDefault="00D00622" w:rsidP="00334199">
            <w:pPr>
              <w:rPr>
                <w:i/>
                <w:sz w:val="22"/>
                <w:szCs w:val="22"/>
              </w:rPr>
            </w:pPr>
            <w:r w:rsidRPr="00B6581A">
              <w:rPr>
                <w:i/>
                <w:sz w:val="22"/>
                <w:szCs w:val="22"/>
              </w:rPr>
              <w:t>– konkrete Nennung der Anforderungen beim anaeroben und aeroben Abbau von Glucose</w:t>
            </w:r>
          </w:p>
          <w:p w14:paraId="3EA3ACDA" w14:textId="28EDA9E2" w:rsidR="00D00622" w:rsidRPr="00B6581A" w:rsidRDefault="00D00622" w:rsidP="00334199">
            <w:pPr>
              <w:rPr>
                <w:i/>
                <w:sz w:val="22"/>
                <w:szCs w:val="22"/>
              </w:rPr>
            </w:pPr>
            <w:r w:rsidRPr="00B6581A">
              <w:rPr>
                <w:i/>
                <w:sz w:val="22"/>
                <w:szCs w:val="22"/>
              </w:rPr>
              <w:t xml:space="preserve">– </w:t>
            </w:r>
            <w:r w:rsidR="008525EE" w:rsidRPr="00B6581A">
              <w:rPr>
                <w:i/>
                <w:sz w:val="22"/>
                <w:szCs w:val="22"/>
              </w:rPr>
              <w:t>konkrete Nennung von NADH</w:t>
            </w:r>
            <w:r w:rsidR="00D0137E">
              <w:rPr>
                <w:i/>
                <w:sz w:val="22"/>
                <w:szCs w:val="22"/>
              </w:rPr>
              <w:t xml:space="preserve"> (nicht mehr:</w:t>
            </w:r>
            <w:r w:rsidR="008525EE" w:rsidRPr="00B6581A">
              <w:rPr>
                <w:i/>
                <w:sz w:val="22"/>
                <w:szCs w:val="22"/>
              </w:rPr>
              <w:t xml:space="preserve"> </w:t>
            </w:r>
            <w:r w:rsidR="00D0137E" w:rsidRPr="00B6581A">
              <w:rPr>
                <w:i/>
                <w:sz w:val="22"/>
                <w:szCs w:val="22"/>
              </w:rPr>
              <w:t>„NADH/H</w:t>
            </w:r>
            <w:r w:rsidR="00D0137E" w:rsidRPr="00B6581A">
              <w:rPr>
                <w:i/>
                <w:sz w:val="22"/>
                <w:szCs w:val="22"/>
                <w:vertAlign w:val="superscript"/>
              </w:rPr>
              <w:t>+</w:t>
            </w:r>
            <w:r w:rsidR="00D0137E" w:rsidRPr="00B6581A">
              <w:rPr>
                <w:i/>
                <w:sz w:val="22"/>
                <w:szCs w:val="22"/>
              </w:rPr>
              <w:t>“</w:t>
            </w:r>
            <w:r w:rsidR="0037234E">
              <w:rPr>
                <w:i/>
                <w:sz w:val="22"/>
                <w:szCs w:val="22"/>
              </w:rPr>
              <w:t>; das H</w:t>
            </w:r>
            <w:r w:rsidR="0037234E" w:rsidRPr="0037234E">
              <w:rPr>
                <w:i/>
                <w:sz w:val="22"/>
                <w:szCs w:val="22"/>
                <w:vertAlign w:val="superscript"/>
              </w:rPr>
              <w:t>+</w:t>
            </w:r>
            <w:r w:rsidR="0037234E">
              <w:rPr>
                <w:i/>
                <w:sz w:val="22"/>
                <w:szCs w:val="22"/>
              </w:rPr>
              <w:t xml:space="preserve"> taucht nur bei stöchiometrischen Zusammen</w:t>
            </w:r>
            <w:r w:rsidR="0037234E">
              <w:rPr>
                <w:i/>
                <w:sz w:val="22"/>
                <w:szCs w:val="22"/>
              </w:rPr>
              <w:softHyphen/>
              <w:t>hängen auf</w:t>
            </w:r>
            <w:r w:rsidR="00D0137E">
              <w:rPr>
                <w:i/>
                <w:sz w:val="22"/>
                <w:szCs w:val="22"/>
              </w:rPr>
              <w:t>)</w:t>
            </w:r>
            <w:r w:rsidR="00D0137E" w:rsidRPr="00B6581A">
              <w:rPr>
                <w:i/>
                <w:sz w:val="22"/>
                <w:szCs w:val="22"/>
              </w:rPr>
              <w:t xml:space="preserve"> </w:t>
            </w:r>
            <w:r w:rsidR="008525EE" w:rsidRPr="00B6581A">
              <w:rPr>
                <w:i/>
                <w:sz w:val="22"/>
                <w:szCs w:val="22"/>
              </w:rPr>
              <w:t>und FADH</w:t>
            </w:r>
            <w:r w:rsidR="008525EE" w:rsidRPr="00B6581A">
              <w:rPr>
                <w:i/>
                <w:sz w:val="22"/>
                <w:szCs w:val="22"/>
                <w:vertAlign w:val="subscript"/>
              </w:rPr>
              <w:t>2</w:t>
            </w:r>
          </w:p>
          <w:p w14:paraId="6ED86945" w14:textId="1A0D97FE" w:rsidR="008525EE" w:rsidRPr="00B6581A" w:rsidRDefault="008525EE" w:rsidP="00334199">
            <w:pPr>
              <w:rPr>
                <w:i/>
                <w:sz w:val="22"/>
                <w:szCs w:val="22"/>
              </w:rPr>
            </w:pPr>
            <w:r w:rsidRPr="00B6581A">
              <w:rPr>
                <w:i/>
                <w:sz w:val="22"/>
                <w:szCs w:val="22"/>
              </w:rPr>
              <w:t>– Feinbau von Chloroplast und Mitochondrium; Vergleich bezüglich der biologischen Prinzi</w:t>
            </w:r>
            <w:r w:rsidR="00B6581A">
              <w:rPr>
                <w:i/>
                <w:sz w:val="22"/>
                <w:szCs w:val="22"/>
              </w:rPr>
              <w:softHyphen/>
            </w:r>
            <w:r w:rsidRPr="00B6581A">
              <w:rPr>
                <w:i/>
                <w:sz w:val="22"/>
                <w:szCs w:val="22"/>
              </w:rPr>
              <w:t>pien</w:t>
            </w:r>
          </w:p>
          <w:p w14:paraId="31276EAD" w14:textId="77777777" w:rsidR="008525EE" w:rsidRPr="00B6581A" w:rsidRDefault="008525EE" w:rsidP="00334199">
            <w:pPr>
              <w:rPr>
                <w:i/>
                <w:sz w:val="22"/>
                <w:szCs w:val="22"/>
              </w:rPr>
            </w:pPr>
            <w:r w:rsidRPr="00B6581A">
              <w:rPr>
                <w:i/>
                <w:sz w:val="22"/>
                <w:szCs w:val="22"/>
              </w:rPr>
              <w:t>– flexible Anpassung von Stoffwechselwegen im erweiterten Anforderungsniveau</w:t>
            </w:r>
          </w:p>
          <w:p w14:paraId="5F3E659C" w14:textId="168C9F94" w:rsidR="00BB5130" w:rsidRPr="00B6581A" w:rsidRDefault="00BB5130" w:rsidP="00334199">
            <w:pPr>
              <w:rPr>
                <w:i/>
                <w:iCs/>
                <w:sz w:val="22"/>
                <w:szCs w:val="22"/>
              </w:rPr>
            </w:pPr>
            <w:r w:rsidRPr="00B6581A">
              <w:rPr>
                <w:i/>
                <w:iCs/>
                <w:sz w:val="22"/>
                <w:szCs w:val="22"/>
              </w:rPr>
              <w:t xml:space="preserve">– </w:t>
            </w:r>
            <w:r w:rsidRPr="00B6581A">
              <w:rPr>
                <w:rFonts w:eastAsia="Times New Roman"/>
                <w:i/>
                <w:iCs/>
                <w:sz w:val="22"/>
                <w:szCs w:val="22"/>
                <w:lang w:eastAsia="de-DE"/>
              </w:rPr>
              <w:t>β-O</w:t>
            </w:r>
            <w:r w:rsidRPr="00B6581A">
              <w:rPr>
                <w:rFonts w:eastAsia="Times New Roman"/>
                <w:i/>
                <w:sz w:val="22"/>
                <w:szCs w:val="22"/>
                <w:lang w:eastAsia="de-DE"/>
              </w:rPr>
              <w:t xml:space="preserve">xidation von Fettsäuren, Bedeutung von Fetten als Energiespeicher </w:t>
            </w:r>
            <w:r w:rsidRPr="00B6581A">
              <w:rPr>
                <w:i/>
                <w:sz w:val="22"/>
                <w:szCs w:val="22"/>
              </w:rPr>
              <w:t>im erweiterten Anfor</w:t>
            </w:r>
            <w:r w:rsidR="00B6581A">
              <w:rPr>
                <w:i/>
                <w:sz w:val="22"/>
                <w:szCs w:val="22"/>
              </w:rPr>
              <w:softHyphen/>
            </w:r>
            <w:r w:rsidRPr="00B6581A">
              <w:rPr>
                <w:i/>
                <w:sz w:val="22"/>
                <w:szCs w:val="22"/>
              </w:rPr>
              <w:t>derungsniveau</w:t>
            </w:r>
          </w:p>
        </w:tc>
        <w:tc>
          <w:tcPr>
            <w:tcW w:w="4217" w:type="dxa"/>
            <w:gridSpan w:val="2"/>
            <w:shd w:val="clear" w:color="auto" w:fill="DBDBDB" w:themeFill="accent3" w:themeFillTint="66"/>
          </w:tcPr>
          <w:p w14:paraId="73E92543"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77CCF8D8" w14:textId="524762BD" w:rsidR="008525EE" w:rsidRPr="00B6581A" w:rsidRDefault="008525EE" w:rsidP="008525EE">
            <w:pPr>
              <w:jc w:val="center"/>
              <w:rPr>
                <w:i/>
                <w:sz w:val="22"/>
                <w:szCs w:val="22"/>
              </w:rPr>
            </w:pPr>
            <w:r w:rsidRPr="00B6581A">
              <w:rPr>
                <w:i/>
                <w:sz w:val="22"/>
                <w:szCs w:val="22"/>
              </w:rPr>
              <w:t>–</w:t>
            </w:r>
          </w:p>
        </w:tc>
      </w:tr>
      <w:tr w:rsidR="00507091" w:rsidRPr="008E3A37" w14:paraId="77180953" w14:textId="77777777" w:rsidTr="00334199">
        <w:tc>
          <w:tcPr>
            <w:tcW w:w="14560" w:type="dxa"/>
            <w:gridSpan w:val="4"/>
            <w:shd w:val="clear" w:color="auto" w:fill="FBE4D5" w:themeFill="accent2" w:themeFillTint="33"/>
          </w:tcPr>
          <w:p w14:paraId="224BCE45" w14:textId="77777777" w:rsidR="00507091" w:rsidRPr="00B6581A" w:rsidRDefault="00507091" w:rsidP="00334199">
            <w:pPr>
              <w:rPr>
                <w:b/>
                <w:bCs/>
                <w:i/>
                <w:sz w:val="22"/>
                <w:szCs w:val="22"/>
              </w:rPr>
            </w:pPr>
            <w:r w:rsidRPr="00B6581A">
              <w:rPr>
                <w:b/>
                <w:bCs/>
                <w:i/>
                <w:sz w:val="22"/>
                <w:szCs w:val="22"/>
              </w:rPr>
              <w:t>Vorwissen:</w:t>
            </w:r>
          </w:p>
          <w:p w14:paraId="5D2F3D7B" w14:textId="77777777" w:rsidR="00507091" w:rsidRPr="00B6581A" w:rsidRDefault="00BB5130" w:rsidP="00334199">
            <w:pPr>
              <w:rPr>
                <w:rStyle w:val="HTMLZitat"/>
                <w:sz w:val="22"/>
                <w:szCs w:val="22"/>
              </w:rPr>
            </w:pPr>
            <w:r w:rsidRPr="00B6581A">
              <w:rPr>
                <w:rStyle w:val="HTMLZitat"/>
                <w:b/>
                <w:bCs/>
                <w:sz w:val="22"/>
                <w:szCs w:val="22"/>
              </w:rPr>
              <w:t>Jgst. 9 Biologie</w:t>
            </w:r>
            <w:r w:rsidRPr="00B6581A">
              <w:rPr>
                <w:rStyle w:val="HTMLZitat"/>
                <w:sz w:val="22"/>
                <w:szCs w:val="22"/>
              </w:rPr>
              <w:t>, Lernbereich 2: Mikroorganismen in der Biotechnologie (Milchsäuregärung, alkoholische Gärung, Zellatmung)</w:t>
            </w:r>
          </w:p>
          <w:p w14:paraId="333E4C99" w14:textId="77777777" w:rsidR="00BB5130" w:rsidRPr="00B6581A" w:rsidRDefault="00BB5130" w:rsidP="00334199">
            <w:pPr>
              <w:rPr>
                <w:rStyle w:val="HTMLZitat"/>
                <w:sz w:val="22"/>
                <w:szCs w:val="22"/>
              </w:rPr>
            </w:pPr>
            <w:r w:rsidRPr="00B6581A">
              <w:rPr>
                <w:rStyle w:val="HTMLZitat"/>
                <w:b/>
                <w:bCs/>
                <w:sz w:val="22"/>
                <w:szCs w:val="22"/>
              </w:rPr>
              <w:t>Jgst. 10 Biologie</w:t>
            </w:r>
            <w:r w:rsidRPr="00B6581A">
              <w:rPr>
                <w:rStyle w:val="HTMLZitat"/>
                <w:sz w:val="22"/>
                <w:szCs w:val="22"/>
              </w:rPr>
              <w:t>, Lernbereich 3.1: Biomoleküle als Energieträger und Baustoffe (Kohlenhydrate, Fette)</w:t>
            </w:r>
          </w:p>
          <w:p w14:paraId="1E9EF52F" w14:textId="77777777" w:rsidR="00BB5130" w:rsidRDefault="00BB5130" w:rsidP="00334199">
            <w:pPr>
              <w:rPr>
                <w:rStyle w:val="HTMLZitat"/>
                <w:sz w:val="22"/>
                <w:szCs w:val="22"/>
              </w:rPr>
            </w:pPr>
            <w:r w:rsidRPr="00B6581A">
              <w:rPr>
                <w:rStyle w:val="HTMLZitat"/>
                <w:b/>
                <w:bCs/>
                <w:sz w:val="22"/>
                <w:szCs w:val="22"/>
              </w:rPr>
              <w:t>Jgst. 10 Biologie</w:t>
            </w:r>
            <w:r w:rsidRPr="00B6581A">
              <w:rPr>
                <w:rStyle w:val="HTMLZitat"/>
                <w:sz w:val="22"/>
                <w:szCs w:val="22"/>
              </w:rPr>
              <w:t>, Lernbereich 3.4: Energiebereitstellung durch Stoffwechselwege (Vergleich der Energiebilanz zwischen Zellatmung und Milchsäuregärung im Muskel)</w:t>
            </w:r>
          </w:p>
          <w:p w14:paraId="5134F140" w14:textId="5330C877" w:rsidR="008E33EB" w:rsidRPr="00B6581A" w:rsidRDefault="008E33EB" w:rsidP="00334199">
            <w:pPr>
              <w:rPr>
                <w:i/>
                <w:sz w:val="22"/>
                <w:szCs w:val="22"/>
              </w:rPr>
            </w:pPr>
            <w:r w:rsidRPr="008E33EB">
              <w:rPr>
                <w:b/>
                <w:i/>
                <w:sz w:val="22"/>
                <w:szCs w:val="22"/>
              </w:rPr>
              <w:t>Jgst. 11 Chemie (nur NTG!)</w:t>
            </w:r>
            <w:r w:rsidRPr="008E33EB">
              <w:rPr>
                <w:i/>
                <w:sz w:val="22"/>
                <w:szCs w:val="22"/>
              </w:rPr>
              <w:t>, Lernbereich 2: Lebensmittelchemie (Kohlenhydrate, Fette, sekundäre Pflanzenstoffe, Farbstoffe)</w:t>
            </w:r>
          </w:p>
        </w:tc>
      </w:tr>
      <w:tr w:rsidR="00CE0D78" w:rsidRPr="008E3A37" w14:paraId="7FDBEA35" w14:textId="77777777" w:rsidTr="0002387D">
        <w:tc>
          <w:tcPr>
            <w:tcW w:w="10768" w:type="dxa"/>
            <w:gridSpan w:val="3"/>
            <w:shd w:val="clear" w:color="auto" w:fill="FFFF00"/>
          </w:tcPr>
          <w:p w14:paraId="1B33FFE6" w14:textId="2059AB03" w:rsidR="00CE0D78" w:rsidRPr="008E3A37" w:rsidRDefault="00CE0D78" w:rsidP="00334199">
            <w:pPr>
              <w:rPr>
                <w:rFonts w:ascii="Arial" w:hAnsi="Arial" w:cs="Arial"/>
                <w:b/>
                <w:sz w:val="28"/>
                <w:szCs w:val="28"/>
              </w:rPr>
            </w:pPr>
            <w:r w:rsidRPr="008E3A37">
              <w:rPr>
                <w:rFonts w:ascii="Arial" w:hAnsi="Arial" w:cs="Arial"/>
                <w:b/>
                <w:sz w:val="28"/>
                <w:szCs w:val="28"/>
              </w:rPr>
              <w:lastRenderedPageBreak/>
              <w:t xml:space="preserve">Lernbereich 4: </w:t>
            </w:r>
            <w:r w:rsidR="001C2EAD" w:rsidRPr="008E3A37">
              <w:rPr>
                <w:rFonts w:ascii="Arial" w:hAnsi="Arial" w:cs="Arial"/>
                <w:b/>
                <w:sz w:val="28"/>
                <w:szCs w:val="28"/>
              </w:rPr>
              <w:t>Ökologie und Biodiversität</w:t>
            </w:r>
          </w:p>
        </w:tc>
        <w:tc>
          <w:tcPr>
            <w:tcW w:w="3792" w:type="dxa"/>
            <w:shd w:val="clear" w:color="auto" w:fill="FFFF00"/>
            <w:vAlign w:val="center"/>
          </w:tcPr>
          <w:p w14:paraId="34ECEA0E" w14:textId="6F32A743" w:rsidR="00CE0D78" w:rsidRPr="00893DB8" w:rsidRDefault="00CE0D78" w:rsidP="00334199">
            <w:pPr>
              <w:jc w:val="center"/>
              <w:rPr>
                <w:rFonts w:ascii="Arial" w:hAnsi="Arial" w:cs="Arial"/>
                <w:iCs/>
                <w:sz w:val="22"/>
                <w:szCs w:val="22"/>
              </w:rPr>
            </w:pPr>
            <w:r w:rsidRPr="00893DB8">
              <w:rPr>
                <w:rFonts w:ascii="Arial" w:hAnsi="Arial" w:cs="Arial"/>
                <w:iCs/>
                <w:sz w:val="22"/>
                <w:szCs w:val="22"/>
              </w:rPr>
              <w:t>ca.</w:t>
            </w:r>
            <w:r w:rsidR="001C2EAD" w:rsidRPr="00893DB8">
              <w:rPr>
                <w:rFonts w:ascii="Arial" w:hAnsi="Arial" w:cs="Arial"/>
                <w:iCs/>
                <w:sz w:val="22"/>
                <w:szCs w:val="22"/>
              </w:rPr>
              <w:t xml:space="preserve"> 34</w:t>
            </w:r>
            <w:r w:rsidR="0002387D" w:rsidRPr="00893DB8">
              <w:rPr>
                <w:rFonts w:ascii="Arial" w:hAnsi="Arial" w:cs="Arial"/>
                <w:iCs/>
                <w:sz w:val="22"/>
                <w:szCs w:val="22"/>
              </w:rPr>
              <w:t xml:space="preserve"> (eA) bzw. </w:t>
            </w:r>
            <w:r w:rsidR="0038046E" w:rsidRPr="00893DB8">
              <w:rPr>
                <w:rFonts w:ascii="Arial" w:hAnsi="Arial" w:cs="Arial"/>
                <w:iCs/>
                <w:sz w:val="22"/>
                <w:szCs w:val="22"/>
              </w:rPr>
              <w:t>21</w:t>
            </w:r>
            <w:r w:rsidR="0002387D" w:rsidRPr="00893DB8">
              <w:rPr>
                <w:rFonts w:ascii="Arial" w:hAnsi="Arial" w:cs="Arial"/>
                <w:iCs/>
                <w:sz w:val="22"/>
                <w:szCs w:val="22"/>
              </w:rPr>
              <w:t xml:space="preserve"> (gA) Stunden</w:t>
            </w:r>
          </w:p>
        </w:tc>
      </w:tr>
    </w:tbl>
    <w:p w14:paraId="32B4EC44" w14:textId="77777777" w:rsidR="00CE0D78" w:rsidRPr="008E3A37" w:rsidRDefault="00CE0D78" w:rsidP="00CE0D78">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CE0D78" w:rsidRPr="008E3A37" w14:paraId="0900BB50" w14:textId="77777777" w:rsidTr="0002387D">
        <w:tc>
          <w:tcPr>
            <w:tcW w:w="10768" w:type="dxa"/>
            <w:gridSpan w:val="3"/>
            <w:shd w:val="clear" w:color="auto" w:fill="FFFF00"/>
          </w:tcPr>
          <w:p w14:paraId="61D8ADAA" w14:textId="7169F2DA" w:rsidR="00CE0D78" w:rsidRPr="008E3A37" w:rsidRDefault="00CE0D78" w:rsidP="00334199">
            <w:pPr>
              <w:rPr>
                <w:rFonts w:ascii="Arial" w:hAnsi="Arial" w:cs="Arial"/>
                <w:b/>
                <w:bCs/>
                <w:sz w:val="28"/>
                <w:szCs w:val="28"/>
              </w:rPr>
            </w:pPr>
            <w:r w:rsidRPr="008E3A37">
              <w:rPr>
                <w:rFonts w:ascii="Arial" w:hAnsi="Arial" w:cs="Arial"/>
                <w:b/>
                <w:bCs/>
                <w:sz w:val="28"/>
                <w:szCs w:val="28"/>
              </w:rPr>
              <w:t>Lernbereich 4.1:</w:t>
            </w:r>
            <w:r w:rsidR="001C2EAD" w:rsidRPr="008E3A37">
              <w:rPr>
                <w:rFonts w:ascii="Arial" w:hAnsi="Arial" w:cs="Arial"/>
                <w:b/>
                <w:bCs/>
                <w:sz w:val="28"/>
                <w:szCs w:val="28"/>
              </w:rPr>
              <w:t xml:space="preserve"> Dynamische Prozesse in Ökosystemen</w:t>
            </w:r>
          </w:p>
        </w:tc>
        <w:tc>
          <w:tcPr>
            <w:tcW w:w="3792" w:type="dxa"/>
            <w:shd w:val="clear" w:color="auto" w:fill="FFFF00"/>
            <w:vAlign w:val="center"/>
          </w:tcPr>
          <w:p w14:paraId="508B3F1A" w14:textId="2752122E"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19</w:t>
            </w:r>
            <w:r w:rsidR="0002387D" w:rsidRPr="00893DB8">
              <w:rPr>
                <w:rFonts w:ascii="Arial" w:hAnsi="Arial" w:cs="Arial"/>
                <w:iCs/>
                <w:sz w:val="22"/>
                <w:szCs w:val="22"/>
              </w:rPr>
              <w:t xml:space="preserve"> (eA) bzw. </w:t>
            </w:r>
            <w:r w:rsidR="0038046E" w:rsidRPr="00893DB8">
              <w:rPr>
                <w:rFonts w:ascii="Arial" w:hAnsi="Arial" w:cs="Arial"/>
                <w:iCs/>
                <w:sz w:val="22"/>
                <w:szCs w:val="22"/>
              </w:rPr>
              <w:t>11</w:t>
            </w:r>
            <w:r w:rsidR="0002387D" w:rsidRPr="00893DB8">
              <w:rPr>
                <w:rFonts w:ascii="Arial" w:hAnsi="Arial" w:cs="Arial"/>
                <w:iCs/>
                <w:sz w:val="22"/>
                <w:szCs w:val="22"/>
              </w:rPr>
              <w:t xml:space="preserve"> (gA) Stunden</w:t>
            </w:r>
          </w:p>
        </w:tc>
      </w:tr>
      <w:tr w:rsidR="00CE0D78" w:rsidRPr="008E3A37" w14:paraId="7DB512D2" w14:textId="77777777" w:rsidTr="00334199">
        <w:tc>
          <w:tcPr>
            <w:tcW w:w="7280" w:type="dxa"/>
            <w:shd w:val="clear" w:color="auto" w:fill="FFFFCC"/>
          </w:tcPr>
          <w:p w14:paraId="7C1EB0FE"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407904AC"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250FF4E9" w14:textId="77777777" w:rsidTr="00334199">
        <w:tc>
          <w:tcPr>
            <w:tcW w:w="7280" w:type="dxa"/>
            <w:shd w:val="clear" w:color="auto" w:fill="FFFFCC"/>
          </w:tcPr>
          <w:p w14:paraId="7B9967EC" w14:textId="5321C9BD"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Biotop: abiotische Faktoren (Temperatur, Licht, Wasser, ggf. weitere), ge</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eig</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nete Messverfahren </w:t>
            </w:r>
          </w:p>
          <w:p w14:paraId="4734D1DA" w14:textId="7601B280"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Biozönose: biotische Faktoren, Verfahren zur qualitativen </w:t>
            </w:r>
            <w:r w:rsidRPr="00342367">
              <w:rPr>
                <w:rFonts w:ascii="Arial" w:eastAsia="Times New Roman" w:hAnsi="Arial" w:cs="Arial"/>
                <w:color w:val="0000FF"/>
                <w:sz w:val="20"/>
                <w:szCs w:val="20"/>
                <w:lang w:eastAsia="de-DE"/>
              </w:rPr>
              <w:t xml:space="preserve">und quantitativen </w:t>
            </w:r>
            <w:r w:rsidRPr="000C5EC2">
              <w:rPr>
                <w:rFonts w:ascii="Arial" w:eastAsia="Times New Roman" w:hAnsi="Arial" w:cs="Arial"/>
                <w:sz w:val="20"/>
                <w:szCs w:val="20"/>
                <w:lang w:eastAsia="de-DE"/>
              </w:rPr>
              <w:t>Erfassung von Arten in einem Areal; Nahrungsnetz (Produzenten, Konsu</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menten (auch Destruenten)), Kohlenstoffatomkreislauf</w:t>
            </w:r>
            <w:r w:rsidRPr="000C5EC2">
              <w:rPr>
                <w:rFonts w:ascii="Arial" w:eastAsia="Times New Roman" w:hAnsi="Arial" w:cs="Arial"/>
                <w:color w:val="0000FF"/>
                <w:sz w:val="20"/>
                <w:szCs w:val="20"/>
                <w:lang w:eastAsia="de-DE"/>
              </w:rPr>
              <w:t>, Stickstoffatom</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kreis</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lauf</w:t>
            </w:r>
            <w:r w:rsidRPr="000C5EC2">
              <w:rPr>
                <w:rFonts w:ascii="Arial" w:eastAsia="Times New Roman" w:hAnsi="Arial" w:cs="Arial"/>
                <w:sz w:val="20"/>
                <w:szCs w:val="20"/>
                <w:lang w:eastAsia="de-DE"/>
              </w:rPr>
              <w:t xml:space="preserve"> und Energiefluss </w:t>
            </w:r>
          </w:p>
          <w:p w14:paraId="5063819E" w14:textId="77777777"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Einfluss abiotischer Faktoren auf Individuen: Toleranzkurven (Maximum, Minimum, Optimum, ökologische Potenz); Generalisten, Spezialisten </w:t>
            </w:r>
          </w:p>
          <w:p w14:paraId="14707A0B" w14:textId="6EF8CAC3"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Einfluss biotischer Faktoren auf Individuen (intra- und interspezifische Beziehungen): Konkurrenz, Koexistenz, Symbiose, Prädation (Carnivorie, Herbivorie, Parasitismus) </w:t>
            </w:r>
          </w:p>
          <w:p w14:paraId="3A06C433" w14:textId="77777777" w:rsidR="00932311" w:rsidRPr="00594E5D"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ökologische </w:t>
            </w:r>
            <w:r w:rsidRPr="00594E5D">
              <w:rPr>
                <w:rFonts w:ascii="Arial" w:eastAsia="Times New Roman" w:hAnsi="Arial" w:cs="Arial"/>
                <w:sz w:val="20"/>
                <w:szCs w:val="20"/>
                <w:lang w:eastAsia="de-DE"/>
              </w:rPr>
              <w:t xml:space="preserve">Nische, Konkurrenzvermeidung </w:t>
            </w:r>
          </w:p>
          <w:p w14:paraId="606C9691" w14:textId="598799C4" w:rsidR="00932311" w:rsidRPr="000C5EC2" w:rsidRDefault="00932311" w:rsidP="005B6B92">
            <w:pPr>
              <w:numPr>
                <w:ilvl w:val="0"/>
                <w:numId w:val="10"/>
              </w:numPr>
              <w:ind w:left="357" w:hanging="357"/>
              <w:rPr>
                <w:rFonts w:ascii="Arial" w:hAnsi="Arial" w:cs="Arial"/>
                <w:sz w:val="20"/>
                <w:szCs w:val="20"/>
              </w:rPr>
            </w:pPr>
            <w:r w:rsidRPr="00594E5D">
              <w:rPr>
                <w:rFonts w:ascii="Arial" w:eastAsia="Times New Roman" w:hAnsi="Arial" w:cs="Arial"/>
                <w:color w:val="0000FF"/>
                <w:sz w:val="20"/>
                <w:szCs w:val="20"/>
                <w:lang w:eastAsia="de-DE"/>
              </w:rPr>
              <w:t xml:space="preserve">K- und r-Strategie; </w:t>
            </w:r>
            <w:r w:rsidRPr="00594E5D">
              <w:rPr>
                <w:rFonts w:ascii="Arial" w:eastAsia="Times New Roman" w:hAnsi="Arial" w:cs="Arial"/>
                <w:sz w:val="20"/>
                <w:szCs w:val="20"/>
                <w:lang w:eastAsia="de-DE"/>
              </w:rPr>
              <w:t>idealisierte Populationsentwicklung: Wachstumsphasen (u. a. exponentielles Wachstum); Einfluss von abiotischen und biotischen Umweltfaktoren (u. a. Konkurrenz</w:t>
            </w:r>
            <w:r w:rsidRPr="000C5EC2">
              <w:rPr>
                <w:rFonts w:ascii="Arial" w:eastAsia="Times New Roman" w:hAnsi="Arial" w:cs="Arial"/>
                <w:sz w:val="20"/>
                <w:szCs w:val="20"/>
                <w:lang w:eastAsia="de-DE"/>
              </w:rPr>
              <w:t xml:space="preserve">, </w:t>
            </w:r>
            <w:r w:rsidRPr="000C5EC2">
              <w:rPr>
                <w:rFonts w:ascii="Arial" w:eastAsia="Times New Roman" w:hAnsi="Arial" w:cs="Arial"/>
                <w:color w:val="0000FF"/>
                <w:sz w:val="20"/>
                <w:szCs w:val="20"/>
                <w:lang w:eastAsia="de-DE"/>
              </w:rPr>
              <w:t xml:space="preserve">Lotka-Volterra-Modell der </w:t>
            </w:r>
            <w:r w:rsidRPr="000C5EC2">
              <w:rPr>
                <w:rFonts w:ascii="Arial" w:eastAsia="Times New Roman" w:hAnsi="Arial" w:cs="Arial"/>
                <w:sz w:val="20"/>
                <w:szCs w:val="20"/>
                <w:lang w:eastAsia="de-DE"/>
              </w:rPr>
              <w:t>Räuber-Beute-Beziehungen) auf die Entwicklung von Populationen (logistisches Wachstum); Umweltkapazität; biologisches Gleichgewicht; Neobiota; Popu</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lationsentwicklung des Menschen </w:t>
            </w:r>
          </w:p>
          <w:p w14:paraId="26A0086A" w14:textId="4222E904" w:rsidR="00CE0D78" w:rsidRPr="000C5EC2" w:rsidRDefault="00932311" w:rsidP="005B6B92">
            <w:pPr>
              <w:numPr>
                <w:ilvl w:val="0"/>
                <w:numId w:val="10"/>
              </w:numPr>
              <w:ind w:left="357" w:hanging="357"/>
              <w:rPr>
                <w:rFonts w:ascii="Arial" w:hAnsi="Arial" w:cs="Arial"/>
                <w:sz w:val="20"/>
                <w:szCs w:val="20"/>
              </w:rPr>
            </w:pPr>
            <w:r w:rsidRPr="000C5EC2">
              <w:rPr>
                <w:rFonts w:ascii="Arial" w:eastAsia="Times New Roman" w:hAnsi="Arial" w:cs="Arial"/>
                <w:color w:val="0000FF"/>
                <w:sz w:val="20"/>
                <w:szCs w:val="20"/>
                <w:lang w:eastAsia="de-DE"/>
              </w:rPr>
              <w:t>Methoden der Populationsabschätzung (u. a. Wiederfangmethode); Ver</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gleich der Verlässlichkeit mit anderen Methoden</w:t>
            </w:r>
          </w:p>
        </w:tc>
        <w:tc>
          <w:tcPr>
            <w:tcW w:w="7280" w:type="dxa"/>
            <w:gridSpan w:val="3"/>
            <w:shd w:val="clear" w:color="auto" w:fill="CCCCFF"/>
          </w:tcPr>
          <w:p w14:paraId="51AC51A8" w14:textId="77777777"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charakterisieren ein Biotop, indem sie abiotische Faktoren messen und analysieren. </w:t>
            </w:r>
          </w:p>
          <w:p w14:paraId="5AC58900" w14:textId="79805B25"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nutzen Daten aus wissenschaftlicher Feldforschung, um die 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set</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zung einer Biozönose qualitativ zu erfassen. </w:t>
            </w:r>
          </w:p>
          <w:p w14:paraId="67259F36" w14:textId="4C35A2CF" w:rsidR="00932311" w:rsidRPr="000C5EC2" w:rsidRDefault="00932311" w:rsidP="005B6B92">
            <w:pPr>
              <w:pStyle w:val="Listenabsatz"/>
              <w:numPr>
                <w:ilvl w:val="0"/>
                <w:numId w:val="9"/>
              </w:numPr>
              <w:ind w:left="357" w:hanging="357"/>
              <w:contextualSpacing w:val="0"/>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erheben Daten aus wissenschaftlicher Feldforschung, um die Zusammen</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 xml:space="preserve">setzung einer Biozönose quantitativ zu erfassen. </w:t>
            </w:r>
          </w:p>
          <w:p w14:paraId="2959CF22" w14:textId="40B3CF84"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beschreiben Nahrungsbeziehungen zwischen Arten, ordnen sie einer Tro</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phieebene zu und erläutern einen Stoffkreislauf sowie den Energiefluss in einem Ökosystem. </w:t>
            </w:r>
          </w:p>
          <w:p w14:paraId="756C1022" w14:textId="4D874EED"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erklären unter Einbeziehung von Laborversuchen die ökologische Potenz von Lebewesen bezüglich abiotischer Faktoren, um die Eignung von Lebensräumen für Lebewesen zu beurteilen. </w:t>
            </w:r>
          </w:p>
          <w:p w14:paraId="4DB3DED0" w14:textId="1D3DC890"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beschreiben die unterschiedliche Einflussnahme biotischer Faktoren auf ein Lebewesen und erklären das Konzept der ökologischen Nische als Zusam</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menspiel biotischer und abiotischer Faktoren, aus dem sich die 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setzung der Biozönose eines Ökosystems ergibt. </w:t>
            </w:r>
          </w:p>
          <w:p w14:paraId="646F8360" w14:textId="5A89DF10" w:rsidR="00CE0D78" w:rsidRPr="000C5EC2" w:rsidRDefault="00932311" w:rsidP="005B6B92">
            <w:pPr>
              <w:pStyle w:val="Listenabsatz"/>
              <w:numPr>
                <w:ilvl w:val="0"/>
                <w:numId w:val="9"/>
              </w:numPr>
              <w:ind w:left="357" w:hanging="357"/>
              <w:contextualSpacing w:val="0"/>
              <w:rPr>
                <w:rFonts w:ascii="Arial" w:hAnsi="Arial" w:cs="Arial"/>
                <w:b/>
                <w:bCs/>
                <w:sz w:val="20"/>
                <w:szCs w:val="20"/>
              </w:rPr>
            </w:pPr>
            <w:r w:rsidRPr="000C5EC2">
              <w:rPr>
                <w:rFonts w:ascii="Arial" w:hAnsi="Arial" w:cs="Arial"/>
                <w:color w:val="0000FF"/>
                <w:sz w:val="20"/>
                <w:szCs w:val="20"/>
              </w:rPr>
              <w:t xml:space="preserve">unterscheiden verschiedene Fortpflanzungsstrategien, </w:t>
            </w:r>
            <w:r w:rsidRPr="000C5EC2">
              <w:rPr>
                <w:rFonts w:ascii="Arial" w:hAnsi="Arial" w:cs="Arial"/>
                <w:sz w:val="20"/>
                <w:szCs w:val="20"/>
              </w:rPr>
              <w:t>erläutern die ver</w:t>
            </w:r>
            <w:r w:rsidR="000C5EC2">
              <w:rPr>
                <w:rFonts w:ascii="Arial" w:hAnsi="Arial" w:cs="Arial"/>
                <w:sz w:val="20"/>
                <w:szCs w:val="20"/>
              </w:rPr>
              <w:softHyphen/>
            </w:r>
            <w:r w:rsidRPr="000C5EC2">
              <w:rPr>
                <w:rFonts w:ascii="Arial" w:hAnsi="Arial" w:cs="Arial"/>
                <w:sz w:val="20"/>
                <w:szCs w:val="20"/>
              </w:rPr>
              <w:t>schiedenen Phasen der Populationsentwicklung und begründen die Dyna</w:t>
            </w:r>
            <w:r w:rsidR="000C5EC2">
              <w:rPr>
                <w:rFonts w:ascii="Arial" w:hAnsi="Arial" w:cs="Arial"/>
                <w:sz w:val="20"/>
                <w:szCs w:val="20"/>
              </w:rPr>
              <w:softHyphen/>
            </w:r>
            <w:r w:rsidRPr="000C5EC2">
              <w:rPr>
                <w:rFonts w:ascii="Arial" w:hAnsi="Arial" w:cs="Arial"/>
                <w:sz w:val="20"/>
                <w:szCs w:val="20"/>
              </w:rPr>
              <w:t>mik mit dem Einfluss von Umweltfaktoren auf die Population und selbstre</w:t>
            </w:r>
            <w:r w:rsidR="000C5EC2">
              <w:rPr>
                <w:rFonts w:ascii="Arial" w:hAnsi="Arial" w:cs="Arial"/>
                <w:sz w:val="20"/>
                <w:szCs w:val="20"/>
              </w:rPr>
              <w:softHyphen/>
            </w:r>
            <w:r w:rsidRPr="000C5EC2">
              <w:rPr>
                <w:rFonts w:ascii="Arial" w:hAnsi="Arial" w:cs="Arial"/>
                <w:sz w:val="20"/>
                <w:szCs w:val="20"/>
              </w:rPr>
              <w:t>gu</w:t>
            </w:r>
            <w:r w:rsidR="000C5EC2">
              <w:rPr>
                <w:rFonts w:ascii="Arial" w:hAnsi="Arial" w:cs="Arial"/>
                <w:sz w:val="20"/>
                <w:szCs w:val="20"/>
              </w:rPr>
              <w:softHyphen/>
            </w:r>
            <w:r w:rsidRPr="000C5EC2">
              <w:rPr>
                <w:rFonts w:ascii="Arial" w:hAnsi="Arial" w:cs="Arial"/>
                <w:sz w:val="20"/>
                <w:szCs w:val="20"/>
              </w:rPr>
              <w:t>lierenden Faktoren in der Population.</w:t>
            </w:r>
          </w:p>
        </w:tc>
      </w:tr>
      <w:tr w:rsidR="00CE0D78" w:rsidRPr="008E3A37" w14:paraId="332378A4" w14:textId="77777777" w:rsidTr="00022E94">
        <w:tc>
          <w:tcPr>
            <w:tcW w:w="8642" w:type="dxa"/>
            <w:gridSpan w:val="2"/>
            <w:shd w:val="clear" w:color="auto" w:fill="DBDBDB" w:themeFill="accent3" w:themeFillTint="66"/>
          </w:tcPr>
          <w:p w14:paraId="70334BDC" w14:textId="7C6BCF87" w:rsidR="00CE0D78" w:rsidRDefault="00CE0D78" w:rsidP="00334199">
            <w:pPr>
              <w:rPr>
                <w:i/>
                <w:sz w:val="22"/>
                <w:szCs w:val="22"/>
              </w:rPr>
            </w:pPr>
            <w:r w:rsidRPr="006C1264">
              <w:rPr>
                <w:b/>
                <w:bCs/>
                <w:i/>
                <w:sz w:val="22"/>
                <w:szCs w:val="22"/>
              </w:rPr>
              <w:t>Das ist neu</w:t>
            </w:r>
            <w:r w:rsidRPr="006C1264">
              <w:rPr>
                <w:i/>
                <w:sz w:val="22"/>
                <w:szCs w:val="22"/>
              </w:rPr>
              <w:t xml:space="preserve"> gegenüber der Kursphase im G8:</w:t>
            </w:r>
          </w:p>
          <w:p w14:paraId="4F055C1D" w14:textId="0A41D0BA" w:rsidR="00594E5D" w:rsidRDefault="00594E5D" w:rsidP="00334199">
            <w:pPr>
              <w:rPr>
                <w:i/>
                <w:sz w:val="22"/>
                <w:szCs w:val="22"/>
              </w:rPr>
            </w:pPr>
            <w:r>
              <w:rPr>
                <w:i/>
                <w:sz w:val="22"/>
                <w:szCs w:val="22"/>
              </w:rPr>
              <w:t>– Biotop mit abiotischen, Biozönose mit biotischen Faktoren; Nahrungsnetz; Stoffkreisläufe</w:t>
            </w:r>
          </w:p>
          <w:p w14:paraId="19F1248C" w14:textId="15FDBBDB" w:rsidR="00594E5D" w:rsidRDefault="00594E5D" w:rsidP="00334199">
            <w:pPr>
              <w:rPr>
                <w:i/>
                <w:sz w:val="22"/>
                <w:szCs w:val="22"/>
              </w:rPr>
            </w:pPr>
            <w:r>
              <w:rPr>
                <w:i/>
                <w:sz w:val="22"/>
                <w:szCs w:val="22"/>
              </w:rPr>
              <w:t>– Toleranzkurven</w:t>
            </w:r>
          </w:p>
          <w:p w14:paraId="421C8232" w14:textId="2E52AEE2" w:rsidR="00594E5D" w:rsidRDefault="00594E5D" w:rsidP="00334199">
            <w:pPr>
              <w:rPr>
                <w:i/>
                <w:sz w:val="22"/>
                <w:szCs w:val="22"/>
              </w:rPr>
            </w:pPr>
            <w:r>
              <w:rPr>
                <w:i/>
                <w:sz w:val="22"/>
                <w:szCs w:val="22"/>
              </w:rPr>
              <w:t>– Einfluss biotischer Faktoren auf Individuen</w:t>
            </w:r>
          </w:p>
          <w:p w14:paraId="350BD31E" w14:textId="3650A97D" w:rsidR="00594E5D" w:rsidRDefault="00594E5D" w:rsidP="00334199">
            <w:pPr>
              <w:rPr>
                <w:i/>
                <w:sz w:val="22"/>
                <w:szCs w:val="22"/>
              </w:rPr>
            </w:pPr>
            <w:r>
              <w:rPr>
                <w:i/>
                <w:sz w:val="22"/>
                <w:szCs w:val="22"/>
              </w:rPr>
              <w:t>– ökologische Nische, Konkurrenzvermeidung</w:t>
            </w:r>
          </w:p>
          <w:p w14:paraId="11C0E332" w14:textId="46699185" w:rsidR="006C1264" w:rsidRDefault="006C1264" w:rsidP="00334199">
            <w:pPr>
              <w:rPr>
                <w:i/>
                <w:sz w:val="22"/>
                <w:szCs w:val="22"/>
              </w:rPr>
            </w:pPr>
            <w:r>
              <w:rPr>
                <w:i/>
                <w:sz w:val="22"/>
                <w:szCs w:val="22"/>
              </w:rPr>
              <w:t>– konkrete Nennung der Phasen und Fachbegriffe bei der Populationsentwicklung</w:t>
            </w:r>
          </w:p>
          <w:p w14:paraId="658DB8C0" w14:textId="77777777" w:rsidR="00CE0D78" w:rsidRDefault="006C1264" w:rsidP="00594E5D">
            <w:pPr>
              <w:rPr>
                <w:i/>
                <w:sz w:val="22"/>
                <w:szCs w:val="22"/>
              </w:rPr>
            </w:pPr>
            <w:r>
              <w:rPr>
                <w:i/>
                <w:sz w:val="22"/>
                <w:szCs w:val="22"/>
              </w:rPr>
              <w:t xml:space="preserve">– </w:t>
            </w:r>
            <w:r w:rsidR="00594E5D">
              <w:rPr>
                <w:i/>
                <w:sz w:val="22"/>
                <w:szCs w:val="22"/>
              </w:rPr>
              <w:t>Fortpflanzungsstrategien nur noch im erweiterten Anforderungsniveau (und auch da nur bei den Kompetenzerwartungen aufgeführt)</w:t>
            </w:r>
          </w:p>
          <w:p w14:paraId="7AF2201E" w14:textId="38C1C33D" w:rsidR="00594E5D" w:rsidRPr="006C1264" w:rsidRDefault="00594E5D" w:rsidP="00594E5D">
            <w:pPr>
              <w:rPr>
                <w:i/>
                <w:sz w:val="22"/>
                <w:szCs w:val="22"/>
              </w:rPr>
            </w:pPr>
            <w:r>
              <w:rPr>
                <w:i/>
                <w:sz w:val="22"/>
                <w:szCs w:val="22"/>
              </w:rPr>
              <w:t>– K- und r-Strategie sowie Lotka-Voleterra-Modell im erweiterten Anforderungsniveau</w:t>
            </w:r>
          </w:p>
        </w:tc>
        <w:tc>
          <w:tcPr>
            <w:tcW w:w="5918" w:type="dxa"/>
            <w:gridSpan w:val="2"/>
            <w:shd w:val="clear" w:color="auto" w:fill="DBDBDB" w:themeFill="accent3" w:themeFillTint="66"/>
          </w:tcPr>
          <w:p w14:paraId="256CC64D" w14:textId="77777777" w:rsidR="00CE0D78" w:rsidRDefault="00CE0D78" w:rsidP="00334199">
            <w:pPr>
              <w:rPr>
                <w:i/>
                <w:sz w:val="22"/>
                <w:szCs w:val="22"/>
              </w:rPr>
            </w:pPr>
            <w:r w:rsidRPr="006C1264">
              <w:rPr>
                <w:b/>
                <w:bCs/>
                <w:i/>
                <w:sz w:val="22"/>
                <w:szCs w:val="22"/>
              </w:rPr>
              <w:t>Das wurde weggelassen</w:t>
            </w:r>
            <w:r w:rsidRPr="006C1264">
              <w:rPr>
                <w:i/>
                <w:sz w:val="22"/>
                <w:szCs w:val="22"/>
              </w:rPr>
              <w:t xml:space="preserve"> gegenüber der Kursphase im G8:</w:t>
            </w:r>
          </w:p>
          <w:p w14:paraId="35C72000" w14:textId="06FD363F" w:rsidR="006C1264" w:rsidRPr="006C1264" w:rsidRDefault="00594E5D" w:rsidP="00334199">
            <w:pPr>
              <w:rPr>
                <w:i/>
                <w:sz w:val="22"/>
                <w:szCs w:val="22"/>
              </w:rPr>
            </w:pPr>
            <w:r>
              <w:rPr>
                <w:i/>
                <w:sz w:val="22"/>
                <w:szCs w:val="22"/>
              </w:rPr>
              <w:t>– Bioindikatoren</w:t>
            </w:r>
          </w:p>
        </w:tc>
      </w:tr>
      <w:tr w:rsidR="00CE0D78" w:rsidRPr="008E3A37" w14:paraId="587E91A1" w14:textId="77777777" w:rsidTr="00334199">
        <w:tc>
          <w:tcPr>
            <w:tcW w:w="14560" w:type="dxa"/>
            <w:gridSpan w:val="4"/>
            <w:shd w:val="clear" w:color="auto" w:fill="FBE4D5" w:themeFill="accent2" w:themeFillTint="33"/>
          </w:tcPr>
          <w:p w14:paraId="72D800D8" w14:textId="77777777" w:rsidR="00CE0D78" w:rsidRDefault="00CE0D78" w:rsidP="00334199">
            <w:pPr>
              <w:rPr>
                <w:b/>
                <w:bCs/>
                <w:i/>
                <w:sz w:val="22"/>
                <w:szCs w:val="22"/>
              </w:rPr>
            </w:pPr>
            <w:r w:rsidRPr="006C1264">
              <w:rPr>
                <w:b/>
                <w:bCs/>
                <w:i/>
                <w:sz w:val="22"/>
                <w:szCs w:val="22"/>
              </w:rPr>
              <w:t>Vorwissen:</w:t>
            </w:r>
          </w:p>
          <w:p w14:paraId="72DE87D0" w14:textId="32B6A0AA" w:rsidR="00DF4FEF" w:rsidRPr="00DF4FEF" w:rsidRDefault="00DF4FEF" w:rsidP="00334199">
            <w:pPr>
              <w:rPr>
                <w:b/>
                <w:bCs/>
                <w:sz w:val="22"/>
                <w:szCs w:val="22"/>
              </w:rPr>
            </w:pPr>
            <w:r>
              <w:rPr>
                <w:b/>
                <w:bCs/>
                <w:i/>
                <w:sz w:val="22"/>
                <w:szCs w:val="22"/>
              </w:rPr>
              <w:t>Jgst. 5 NA: Biologie</w:t>
            </w:r>
            <w:r w:rsidRPr="00DF4FEF">
              <w:rPr>
                <w:bCs/>
                <w:i/>
                <w:sz w:val="22"/>
                <w:szCs w:val="22"/>
              </w:rPr>
              <w:t>, Lernbereich 2.5</w:t>
            </w:r>
            <w:r>
              <w:rPr>
                <w:bCs/>
                <w:i/>
                <w:sz w:val="22"/>
                <w:szCs w:val="22"/>
              </w:rPr>
              <w:t>: Ökosystem Grünland (Ökosystem aus Lebensraum und Lebensgemeinschaft)</w:t>
            </w:r>
          </w:p>
          <w:p w14:paraId="2E138430" w14:textId="4D46FBFF" w:rsidR="006C1264" w:rsidRDefault="006C1264" w:rsidP="006C1264">
            <w:pPr>
              <w:rPr>
                <w:i/>
                <w:sz w:val="22"/>
                <w:szCs w:val="22"/>
              </w:rPr>
            </w:pPr>
            <w:r w:rsidRPr="006C1264">
              <w:rPr>
                <w:b/>
                <w:bCs/>
                <w:i/>
                <w:sz w:val="22"/>
                <w:szCs w:val="22"/>
              </w:rPr>
              <w:t xml:space="preserve">Jgst. 6 </w:t>
            </w:r>
            <w:r w:rsidR="00DF4FEF">
              <w:rPr>
                <w:b/>
                <w:bCs/>
                <w:i/>
                <w:sz w:val="22"/>
                <w:szCs w:val="22"/>
              </w:rPr>
              <w:t xml:space="preserve">NA: </w:t>
            </w:r>
            <w:r w:rsidRPr="006C1264">
              <w:rPr>
                <w:b/>
                <w:bCs/>
                <w:i/>
                <w:sz w:val="22"/>
                <w:szCs w:val="22"/>
              </w:rPr>
              <w:t>Biologie</w:t>
            </w:r>
            <w:r>
              <w:rPr>
                <w:i/>
                <w:sz w:val="22"/>
                <w:szCs w:val="22"/>
              </w:rPr>
              <w:t>, Lernbereich 1.5: Ökosystem Gewässer (abiotische Faktoren im Ökosystem)</w:t>
            </w:r>
          </w:p>
          <w:p w14:paraId="63A5536E" w14:textId="50EFB7C2" w:rsidR="00DF4FEF" w:rsidRPr="006C1264" w:rsidRDefault="00DF4FEF" w:rsidP="006C1264">
            <w:pPr>
              <w:rPr>
                <w:i/>
                <w:sz w:val="22"/>
                <w:szCs w:val="22"/>
              </w:rPr>
            </w:pPr>
            <w:r w:rsidRPr="00DF4FEF">
              <w:rPr>
                <w:b/>
                <w:bCs/>
                <w:i/>
                <w:sz w:val="22"/>
                <w:szCs w:val="22"/>
              </w:rPr>
              <w:t>Jgst. 9 Biologie</w:t>
            </w:r>
            <w:r>
              <w:rPr>
                <w:i/>
                <w:sz w:val="22"/>
                <w:szCs w:val="22"/>
              </w:rPr>
              <w:t>, Lernbereich 6: Ökosystem Boden (Ökosystem aus Biotop und Biozönose; Kohlenstoffatom-Kreislauf)</w:t>
            </w:r>
          </w:p>
        </w:tc>
      </w:tr>
    </w:tbl>
    <w:p w14:paraId="0AA5B232" w14:textId="77777777" w:rsidR="00CE0D78" w:rsidRPr="008E3A37" w:rsidRDefault="00CE0D78" w:rsidP="00CE0D78">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CE0D78" w:rsidRPr="008E3A37" w14:paraId="2E988DA5" w14:textId="77777777" w:rsidTr="0002387D">
        <w:tc>
          <w:tcPr>
            <w:tcW w:w="10768" w:type="dxa"/>
            <w:gridSpan w:val="3"/>
            <w:shd w:val="clear" w:color="auto" w:fill="FFFF00"/>
          </w:tcPr>
          <w:p w14:paraId="11B1E070" w14:textId="1E613EAF" w:rsidR="00CE0D78" w:rsidRPr="008E3A37" w:rsidRDefault="00CE0D78" w:rsidP="00334199">
            <w:pPr>
              <w:rPr>
                <w:rFonts w:ascii="Arial" w:hAnsi="Arial" w:cs="Arial"/>
                <w:b/>
                <w:bCs/>
                <w:sz w:val="28"/>
                <w:szCs w:val="28"/>
              </w:rPr>
            </w:pPr>
            <w:r w:rsidRPr="008E3A37">
              <w:rPr>
                <w:rFonts w:ascii="Arial" w:hAnsi="Arial" w:cs="Arial"/>
                <w:b/>
                <w:bCs/>
                <w:sz w:val="28"/>
                <w:szCs w:val="28"/>
              </w:rPr>
              <w:lastRenderedPageBreak/>
              <w:t>Lernbereich 4.2:</w:t>
            </w:r>
            <w:r w:rsidR="001C2EAD" w:rsidRPr="008E3A37">
              <w:rPr>
                <w:rFonts w:ascii="Arial" w:hAnsi="Arial" w:cs="Arial"/>
                <w:b/>
                <w:bCs/>
                <w:sz w:val="28"/>
                <w:szCs w:val="28"/>
              </w:rPr>
              <w:t xml:space="preserve"> Anthropogene Einflüsse auf Ökosysteme und der Wert der Biodiversität</w:t>
            </w:r>
          </w:p>
        </w:tc>
        <w:tc>
          <w:tcPr>
            <w:tcW w:w="3792" w:type="dxa"/>
            <w:shd w:val="clear" w:color="auto" w:fill="FFFF00"/>
            <w:vAlign w:val="center"/>
          </w:tcPr>
          <w:p w14:paraId="6FFBEBF8" w14:textId="4347C5E3"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7</w:t>
            </w:r>
            <w:r w:rsidR="0002387D" w:rsidRPr="00893DB8">
              <w:rPr>
                <w:rFonts w:ascii="Arial" w:hAnsi="Arial" w:cs="Arial"/>
                <w:iCs/>
                <w:sz w:val="22"/>
                <w:szCs w:val="22"/>
              </w:rPr>
              <w:t xml:space="preserve"> (eA) bzw. </w:t>
            </w:r>
            <w:r w:rsidR="0038046E" w:rsidRPr="00893DB8">
              <w:rPr>
                <w:rFonts w:ascii="Arial" w:hAnsi="Arial" w:cs="Arial"/>
                <w:iCs/>
                <w:sz w:val="22"/>
                <w:szCs w:val="22"/>
              </w:rPr>
              <w:t>6</w:t>
            </w:r>
            <w:r w:rsidR="0002387D" w:rsidRPr="00893DB8">
              <w:rPr>
                <w:rFonts w:ascii="Arial" w:hAnsi="Arial" w:cs="Arial"/>
                <w:iCs/>
                <w:sz w:val="22"/>
                <w:szCs w:val="22"/>
              </w:rPr>
              <w:t xml:space="preserve"> (gA) Stunden</w:t>
            </w:r>
          </w:p>
        </w:tc>
      </w:tr>
      <w:tr w:rsidR="00CE0D78" w:rsidRPr="008E3A37" w14:paraId="519FDFBC" w14:textId="77777777" w:rsidTr="00334199">
        <w:tc>
          <w:tcPr>
            <w:tcW w:w="7280" w:type="dxa"/>
            <w:shd w:val="clear" w:color="auto" w:fill="FFFFCC"/>
          </w:tcPr>
          <w:p w14:paraId="2D7EB2DB"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70A05312"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26226693" w14:textId="77777777" w:rsidTr="00334199">
        <w:tc>
          <w:tcPr>
            <w:tcW w:w="7280" w:type="dxa"/>
            <w:shd w:val="clear" w:color="auto" w:fill="FFFFCC"/>
          </w:tcPr>
          <w:p w14:paraId="78BEACD8" w14:textId="46200198" w:rsidR="00932311" w:rsidRPr="000C5EC2" w:rsidRDefault="00932311" w:rsidP="005B6B92">
            <w:pPr>
              <w:numPr>
                <w:ilvl w:val="0"/>
                <w:numId w:val="12"/>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ökonomische Kosten menschlicher Einflussnahme auf ein Ökosystem u. a. Folgen des anthropogen bedingten Treibhauseffekts, Konzept der Ökosys</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temleistungen in verschiedenen Bereichen (regulierend, unterstützend, bereitstellend, kulturell); Bedeutung und Erhalt der Biodiversität </w:t>
            </w:r>
          </w:p>
          <w:p w14:paraId="7FD97841" w14:textId="313CE62E" w:rsidR="00932311" w:rsidRPr="000C5EC2" w:rsidRDefault="00932311" w:rsidP="005B6B92">
            <w:pPr>
              <w:numPr>
                <w:ilvl w:val="0"/>
                <w:numId w:val="12"/>
              </w:numPr>
              <w:ind w:left="357" w:hanging="357"/>
              <w:rPr>
                <w:rFonts w:ascii="Arial" w:hAnsi="Arial" w:cs="Arial"/>
                <w:sz w:val="20"/>
                <w:szCs w:val="20"/>
              </w:rPr>
            </w:pPr>
            <w:r w:rsidRPr="000C5EC2">
              <w:rPr>
                <w:rFonts w:ascii="Arial" w:eastAsia="Times New Roman" w:hAnsi="Arial" w:cs="Arial"/>
                <w:sz w:val="20"/>
                <w:szCs w:val="20"/>
                <w:lang w:eastAsia="de-DE"/>
              </w:rPr>
              <w:t>Monetarisierung von ausgewählten Ökosystemen; Kosten-Nutzen-Analyse von menschlichen Eingriffen (Erhaltungs- und Renaturierungsmaßnahmen); Prozessschutz; Vorteile und Grenzen der ökonomischen Sichtweise; nach</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haltige Nutzung, Ökosystemmanagement; Ursache-Wirkungszusammen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hänge </w:t>
            </w:r>
          </w:p>
          <w:p w14:paraId="7D57156C" w14:textId="17A4F475" w:rsidR="00CE0D78" w:rsidRPr="000C5EC2" w:rsidRDefault="00932311" w:rsidP="005B6B92">
            <w:pPr>
              <w:numPr>
                <w:ilvl w:val="0"/>
                <w:numId w:val="12"/>
              </w:numPr>
              <w:ind w:left="357" w:hanging="357"/>
              <w:rPr>
                <w:rFonts w:ascii="Arial" w:hAnsi="Arial" w:cs="Arial"/>
                <w:sz w:val="20"/>
                <w:szCs w:val="20"/>
              </w:rPr>
            </w:pPr>
            <w:r w:rsidRPr="000C5EC2">
              <w:rPr>
                <w:rFonts w:ascii="Arial" w:eastAsia="Times New Roman" w:hAnsi="Arial" w:cs="Arial"/>
                <w:sz w:val="20"/>
                <w:szCs w:val="20"/>
                <w:lang w:eastAsia="de-DE"/>
              </w:rPr>
              <w:t xml:space="preserve">anthropozentrische Bewertung der Natur; </w:t>
            </w:r>
            <w:r w:rsidRPr="000C5EC2">
              <w:rPr>
                <w:rFonts w:ascii="Arial" w:eastAsia="Times New Roman" w:hAnsi="Arial" w:cs="Arial"/>
                <w:color w:val="0000FF"/>
                <w:sz w:val="20"/>
                <w:szCs w:val="20"/>
                <w:lang w:eastAsia="de-DE"/>
              </w:rPr>
              <w:t xml:space="preserve">ökologischer Fußabdruck; </w:t>
            </w:r>
            <w:r w:rsidRPr="000C5EC2">
              <w:rPr>
                <w:rFonts w:ascii="Arial" w:eastAsia="Times New Roman" w:hAnsi="Arial" w:cs="Arial"/>
                <w:sz w:val="20"/>
                <w:szCs w:val="20"/>
                <w:lang w:eastAsia="de-DE"/>
              </w:rPr>
              <w:t>Not</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wen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digkeit einer Werteabwägung</w:t>
            </w:r>
          </w:p>
        </w:tc>
        <w:tc>
          <w:tcPr>
            <w:tcW w:w="7280" w:type="dxa"/>
            <w:gridSpan w:val="3"/>
            <w:shd w:val="clear" w:color="auto" w:fill="CCCCFF"/>
          </w:tcPr>
          <w:p w14:paraId="5B1448F5" w14:textId="2E42F749" w:rsidR="00932311" w:rsidRPr="000C5EC2" w:rsidRDefault="00932311" w:rsidP="005B6B92">
            <w:pPr>
              <w:pStyle w:val="Listenabsatz"/>
              <w:numPr>
                <w:ilvl w:val="0"/>
                <w:numId w:val="11"/>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unterscheiden Bereiche, in denen der Mensch die Ressourcen von Öko</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systemen nutzt und erklären die Bedeutung dieser Ökosystemleistungen für den Menschen. </w:t>
            </w:r>
          </w:p>
          <w:p w14:paraId="70F1C98A" w14:textId="77777777" w:rsidR="00932311" w:rsidRPr="000C5EC2" w:rsidRDefault="00932311" w:rsidP="005B6B92">
            <w:pPr>
              <w:pStyle w:val="Listenabsatz"/>
              <w:numPr>
                <w:ilvl w:val="0"/>
                <w:numId w:val="11"/>
              </w:numPr>
              <w:ind w:left="357" w:hanging="357"/>
              <w:contextualSpacing w:val="0"/>
              <w:rPr>
                <w:rFonts w:ascii="Arial" w:hAnsi="Arial" w:cs="Arial"/>
                <w:sz w:val="20"/>
                <w:szCs w:val="20"/>
              </w:rPr>
            </w:pPr>
            <w:r w:rsidRPr="000C5EC2">
              <w:rPr>
                <w:rFonts w:ascii="Arial" w:eastAsia="Times New Roman" w:hAnsi="Arial" w:cs="Arial"/>
                <w:sz w:val="20"/>
                <w:szCs w:val="20"/>
                <w:lang w:eastAsia="de-DE"/>
              </w:rPr>
              <w:t xml:space="preserve">vergleichen verschieden stark beeinflusste Ökosysteme nach dem Konzept der Ökosystemleistungen, um den Wert von Erhalt bzw. Renaturierung durch einen Ökosystemmanagementprozess einzuschätzen. </w:t>
            </w:r>
          </w:p>
          <w:p w14:paraId="10DDC02E" w14:textId="5A1569A2" w:rsidR="00CE0D78" w:rsidRPr="000C5EC2" w:rsidRDefault="00932311" w:rsidP="005B6B92">
            <w:pPr>
              <w:pStyle w:val="Listenabsatz"/>
              <w:numPr>
                <w:ilvl w:val="0"/>
                <w:numId w:val="11"/>
              </w:numPr>
              <w:ind w:left="357" w:hanging="357"/>
              <w:contextualSpacing w:val="0"/>
              <w:rPr>
                <w:rFonts w:ascii="Arial" w:hAnsi="Arial" w:cs="Arial"/>
                <w:sz w:val="20"/>
                <w:szCs w:val="20"/>
              </w:rPr>
            </w:pPr>
            <w:r w:rsidRPr="000C5EC2">
              <w:rPr>
                <w:rFonts w:ascii="Arial" w:hAnsi="Arial" w:cs="Arial"/>
                <w:sz w:val="20"/>
                <w:szCs w:val="20"/>
              </w:rPr>
              <w:t>reflektieren die anthropozentrische Bewertung der Natur und sind sich da</w:t>
            </w:r>
            <w:r w:rsidR="000C5EC2">
              <w:rPr>
                <w:rFonts w:ascii="Arial" w:hAnsi="Arial" w:cs="Arial"/>
                <w:sz w:val="20"/>
                <w:szCs w:val="20"/>
              </w:rPr>
              <w:softHyphen/>
            </w:r>
            <w:r w:rsidRPr="000C5EC2">
              <w:rPr>
                <w:rFonts w:ascii="Arial" w:hAnsi="Arial" w:cs="Arial"/>
                <w:sz w:val="20"/>
                <w:szCs w:val="20"/>
              </w:rPr>
              <w:t>durch der Notwendigkeit einer Werteabwägung bewusst.</w:t>
            </w:r>
          </w:p>
        </w:tc>
      </w:tr>
      <w:tr w:rsidR="00CE0D78" w:rsidRPr="008E3A37" w14:paraId="2A7B24BC" w14:textId="77777777" w:rsidTr="00022E94">
        <w:tc>
          <w:tcPr>
            <w:tcW w:w="8642" w:type="dxa"/>
            <w:gridSpan w:val="2"/>
            <w:shd w:val="clear" w:color="auto" w:fill="DBDBDB" w:themeFill="accent3" w:themeFillTint="66"/>
          </w:tcPr>
          <w:p w14:paraId="10C5E248" w14:textId="602EC9C9" w:rsidR="00CE0D78" w:rsidRPr="00022E94" w:rsidRDefault="00CE0D78" w:rsidP="00334199">
            <w:pPr>
              <w:rPr>
                <w:i/>
                <w:sz w:val="22"/>
                <w:szCs w:val="22"/>
              </w:rPr>
            </w:pPr>
            <w:r w:rsidRPr="00022E94">
              <w:rPr>
                <w:b/>
                <w:bCs/>
                <w:i/>
                <w:sz w:val="22"/>
                <w:szCs w:val="22"/>
              </w:rPr>
              <w:t>Das ist neu</w:t>
            </w:r>
            <w:r w:rsidRPr="00022E94">
              <w:rPr>
                <w:i/>
                <w:sz w:val="22"/>
                <w:szCs w:val="22"/>
              </w:rPr>
              <w:t xml:space="preserve"> gegenüber der Kursphase im G8:</w:t>
            </w:r>
          </w:p>
          <w:p w14:paraId="1286A592" w14:textId="7E15DFB2" w:rsidR="00CE0D78" w:rsidRPr="00022E94" w:rsidRDefault="006C1264" w:rsidP="00334199">
            <w:pPr>
              <w:rPr>
                <w:i/>
                <w:sz w:val="22"/>
                <w:szCs w:val="22"/>
              </w:rPr>
            </w:pPr>
            <w:r w:rsidRPr="00022E94">
              <w:rPr>
                <w:i/>
                <w:sz w:val="22"/>
                <w:szCs w:val="22"/>
              </w:rPr>
              <w:t>– komplette Neuformulierung des Abschnitts</w:t>
            </w:r>
            <w:r w:rsidR="00594E5D" w:rsidRPr="00022E94">
              <w:rPr>
                <w:i/>
                <w:sz w:val="22"/>
                <w:szCs w:val="22"/>
              </w:rPr>
              <w:t>, neue Gewichtung von Aspekten; intensiverer Bezug zu Wirtschaft und Politik</w:t>
            </w:r>
          </w:p>
        </w:tc>
        <w:tc>
          <w:tcPr>
            <w:tcW w:w="5918" w:type="dxa"/>
            <w:gridSpan w:val="2"/>
            <w:shd w:val="clear" w:color="auto" w:fill="DBDBDB" w:themeFill="accent3" w:themeFillTint="66"/>
          </w:tcPr>
          <w:p w14:paraId="6D0C8ED6" w14:textId="77777777" w:rsidR="00CE0D78" w:rsidRPr="00022E94" w:rsidRDefault="00CE0D78" w:rsidP="00334199">
            <w:pPr>
              <w:rPr>
                <w:i/>
                <w:sz w:val="22"/>
                <w:szCs w:val="22"/>
              </w:rPr>
            </w:pPr>
            <w:r w:rsidRPr="00022E94">
              <w:rPr>
                <w:b/>
                <w:bCs/>
                <w:i/>
                <w:sz w:val="22"/>
                <w:szCs w:val="22"/>
              </w:rPr>
              <w:t>Das wurde weggelassen</w:t>
            </w:r>
            <w:r w:rsidRPr="00022E94">
              <w:rPr>
                <w:i/>
                <w:sz w:val="22"/>
                <w:szCs w:val="22"/>
              </w:rPr>
              <w:t xml:space="preserve"> gegenüber der Kursphase im G8:</w:t>
            </w:r>
          </w:p>
          <w:p w14:paraId="528A9B78" w14:textId="15D095F7" w:rsidR="00594E5D" w:rsidRPr="00022E94" w:rsidRDefault="00594E5D" w:rsidP="00594E5D">
            <w:pPr>
              <w:jc w:val="center"/>
              <w:rPr>
                <w:i/>
                <w:sz w:val="22"/>
                <w:szCs w:val="22"/>
              </w:rPr>
            </w:pPr>
            <w:r w:rsidRPr="00022E94">
              <w:rPr>
                <w:i/>
                <w:sz w:val="22"/>
                <w:szCs w:val="22"/>
              </w:rPr>
              <w:t>–</w:t>
            </w:r>
          </w:p>
        </w:tc>
      </w:tr>
      <w:tr w:rsidR="00CE0D78" w:rsidRPr="008E3A37" w14:paraId="27B9EA95" w14:textId="77777777" w:rsidTr="00334199">
        <w:tc>
          <w:tcPr>
            <w:tcW w:w="14560" w:type="dxa"/>
            <w:gridSpan w:val="4"/>
            <w:shd w:val="clear" w:color="auto" w:fill="FBE4D5" w:themeFill="accent2" w:themeFillTint="33"/>
          </w:tcPr>
          <w:p w14:paraId="513D077A" w14:textId="1E8DCD26" w:rsidR="00CE0D78" w:rsidRPr="00022E94" w:rsidRDefault="00CE0D78" w:rsidP="00334199">
            <w:pPr>
              <w:rPr>
                <w:b/>
                <w:bCs/>
                <w:i/>
                <w:sz w:val="22"/>
                <w:szCs w:val="22"/>
              </w:rPr>
            </w:pPr>
            <w:r w:rsidRPr="00022E94">
              <w:rPr>
                <w:b/>
                <w:bCs/>
                <w:i/>
                <w:sz w:val="22"/>
                <w:szCs w:val="22"/>
              </w:rPr>
              <w:t>Vorwissen:</w:t>
            </w:r>
          </w:p>
          <w:p w14:paraId="4F2DC267" w14:textId="6D4B2730" w:rsidR="006C1264" w:rsidRPr="00022E94" w:rsidRDefault="006C1264" w:rsidP="006C1264">
            <w:pPr>
              <w:rPr>
                <w:i/>
                <w:sz w:val="22"/>
                <w:szCs w:val="22"/>
              </w:rPr>
            </w:pPr>
            <w:r w:rsidRPr="00022E94">
              <w:rPr>
                <w:b/>
                <w:bCs/>
                <w:i/>
                <w:sz w:val="22"/>
                <w:szCs w:val="22"/>
              </w:rPr>
              <w:t>Jgst. 8 Biologie</w:t>
            </w:r>
            <w:r w:rsidRPr="00022E94">
              <w:rPr>
                <w:i/>
                <w:sz w:val="22"/>
                <w:szCs w:val="22"/>
              </w:rPr>
              <w:t>, Lernbereich 6: Ökosysteme unter dem Einfluss des Menschen (Eingriffe des Menschen; nachhaltige Entwicklung, ökologischer Fußabdruck)</w:t>
            </w:r>
          </w:p>
          <w:p w14:paraId="2D54C297" w14:textId="4A3821EE" w:rsidR="00CE0D78" w:rsidRPr="00022E94" w:rsidRDefault="006C1264" w:rsidP="006C1264">
            <w:pPr>
              <w:rPr>
                <w:i/>
                <w:sz w:val="22"/>
                <w:szCs w:val="22"/>
              </w:rPr>
            </w:pPr>
            <w:r w:rsidRPr="00022E94">
              <w:rPr>
                <w:b/>
                <w:bCs/>
                <w:i/>
                <w:sz w:val="22"/>
                <w:szCs w:val="22"/>
              </w:rPr>
              <w:t>Jgst. 9 Biologie</w:t>
            </w:r>
            <w:r w:rsidRPr="00022E94">
              <w:rPr>
                <w:i/>
                <w:sz w:val="22"/>
                <w:szCs w:val="22"/>
              </w:rPr>
              <w:t>, Lernbereich 6: Ökosystem Boden (ökologische Zusammenhänge im Boden)</w:t>
            </w:r>
          </w:p>
        </w:tc>
      </w:tr>
    </w:tbl>
    <w:p w14:paraId="226913CC" w14:textId="77777777" w:rsidR="00CE0D78" w:rsidRPr="008E3A37" w:rsidRDefault="00CE0D78" w:rsidP="00CE0D78">
      <w:pPr>
        <w:rPr>
          <w:rFonts w:ascii="Arial" w:hAnsi="Arial" w:cs="Arial"/>
        </w:rPr>
      </w:pPr>
    </w:p>
    <w:tbl>
      <w:tblPr>
        <w:tblStyle w:val="Tabellenraster"/>
        <w:tblW w:w="14596" w:type="dxa"/>
        <w:tblLook w:val="04A0" w:firstRow="1" w:lastRow="0" w:firstColumn="1" w:lastColumn="0" w:noHBand="0" w:noVBand="1"/>
      </w:tblPr>
      <w:tblGrid>
        <w:gridCol w:w="7280"/>
        <w:gridCol w:w="1362"/>
        <w:gridCol w:w="2126"/>
        <w:gridCol w:w="3792"/>
        <w:gridCol w:w="36"/>
      </w:tblGrid>
      <w:tr w:rsidR="00CE0D78" w:rsidRPr="008E3A37" w14:paraId="01071F35" w14:textId="77777777" w:rsidTr="00E117BA">
        <w:trPr>
          <w:gridAfter w:val="1"/>
          <w:wAfter w:w="36" w:type="dxa"/>
        </w:trPr>
        <w:tc>
          <w:tcPr>
            <w:tcW w:w="10768" w:type="dxa"/>
            <w:gridSpan w:val="3"/>
            <w:shd w:val="clear" w:color="auto" w:fill="FFFF00"/>
          </w:tcPr>
          <w:p w14:paraId="34293F65" w14:textId="2BFE9C68" w:rsidR="00CE0D78" w:rsidRPr="008E3A37" w:rsidRDefault="00CE0D78" w:rsidP="00334199">
            <w:pPr>
              <w:rPr>
                <w:rFonts w:ascii="Arial" w:hAnsi="Arial" w:cs="Arial"/>
                <w:b/>
                <w:bCs/>
                <w:sz w:val="28"/>
                <w:szCs w:val="28"/>
              </w:rPr>
            </w:pPr>
            <w:r w:rsidRPr="008E3A37">
              <w:rPr>
                <w:rFonts w:ascii="Arial" w:hAnsi="Arial" w:cs="Arial"/>
                <w:b/>
                <w:bCs/>
                <w:sz w:val="28"/>
                <w:szCs w:val="28"/>
              </w:rPr>
              <w:t>Lernbereich 4.3:</w:t>
            </w:r>
            <w:r w:rsidR="001C2EAD" w:rsidRPr="008E3A37">
              <w:rPr>
                <w:rFonts w:ascii="Arial" w:hAnsi="Arial" w:cs="Arial"/>
                <w:b/>
                <w:bCs/>
                <w:sz w:val="28"/>
                <w:szCs w:val="28"/>
              </w:rPr>
              <w:t xml:space="preserve"> Ökologie der Biosphäre</w:t>
            </w:r>
          </w:p>
        </w:tc>
        <w:tc>
          <w:tcPr>
            <w:tcW w:w="3792" w:type="dxa"/>
            <w:shd w:val="clear" w:color="auto" w:fill="FFFF00"/>
            <w:vAlign w:val="center"/>
          </w:tcPr>
          <w:p w14:paraId="2D71C7B4" w14:textId="3B8D2D1F"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8</w:t>
            </w:r>
            <w:r w:rsidR="0002387D" w:rsidRPr="00893DB8">
              <w:rPr>
                <w:rFonts w:ascii="Arial" w:hAnsi="Arial" w:cs="Arial"/>
                <w:iCs/>
                <w:sz w:val="22"/>
                <w:szCs w:val="22"/>
              </w:rPr>
              <w:t xml:space="preserve"> (eA) bzw. </w:t>
            </w:r>
            <w:r w:rsidR="0038046E" w:rsidRPr="00893DB8">
              <w:rPr>
                <w:rFonts w:ascii="Arial" w:hAnsi="Arial" w:cs="Arial"/>
                <w:iCs/>
                <w:sz w:val="22"/>
                <w:szCs w:val="22"/>
              </w:rPr>
              <w:t>4</w:t>
            </w:r>
            <w:r w:rsidR="0002387D" w:rsidRPr="00893DB8">
              <w:rPr>
                <w:rFonts w:ascii="Arial" w:hAnsi="Arial" w:cs="Arial"/>
                <w:iCs/>
                <w:sz w:val="22"/>
                <w:szCs w:val="22"/>
              </w:rPr>
              <w:t xml:space="preserve"> (gA) Stunden</w:t>
            </w:r>
          </w:p>
        </w:tc>
      </w:tr>
      <w:tr w:rsidR="00CE0D78" w:rsidRPr="008E3A37" w14:paraId="447008E4" w14:textId="77777777" w:rsidTr="00E117BA">
        <w:trPr>
          <w:gridAfter w:val="1"/>
          <w:wAfter w:w="36" w:type="dxa"/>
        </w:trPr>
        <w:tc>
          <w:tcPr>
            <w:tcW w:w="7280" w:type="dxa"/>
            <w:shd w:val="clear" w:color="auto" w:fill="FFFFCC"/>
          </w:tcPr>
          <w:p w14:paraId="0944ED6E"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345538C7"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410A5534" w14:textId="77777777" w:rsidTr="00E117BA">
        <w:trPr>
          <w:gridAfter w:val="1"/>
          <w:wAfter w:w="36" w:type="dxa"/>
        </w:trPr>
        <w:tc>
          <w:tcPr>
            <w:tcW w:w="7280" w:type="dxa"/>
            <w:shd w:val="clear" w:color="auto" w:fill="FFFFCC"/>
          </w:tcPr>
          <w:p w14:paraId="67559BDF" w14:textId="77777777" w:rsidR="00932311" w:rsidRPr="000C5EC2" w:rsidRDefault="00932311" w:rsidP="005B6B92">
            <w:pPr>
              <w:numPr>
                <w:ilvl w:val="0"/>
                <w:numId w:val="14"/>
              </w:numPr>
              <w:ind w:left="357" w:hanging="357"/>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 xml:space="preserve">Wechselwirkungen von Biomen: Einfluss von Ökosystemen auf das globale Klima (Kohlenstoffdioxidsenken, Wasserevaporation); Auswirkung von Veränderungen in Ökosystemen auf die Biodiversität (Nietenhypothese, Passagierhypothese) </w:t>
            </w:r>
          </w:p>
          <w:p w14:paraId="5A49B1AC" w14:textId="77777777" w:rsidR="00932311" w:rsidRPr="000C5EC2" w:rsidRDefault="00932311" w:rsidP="005B6B92">
            <w:pPr>
              <w:numPr>
                <w:ilvl w:val="0"/>
                <w:numId w:val="14"/>
              </w:numPr>
              <w:ind w:left="357" w:hanging="357"/>
              <w:rPr>
                <w:rFonts w:ascii="Arial" w:eastAsia="Times New Roman" w:hAnsi="Arial" w:cs="Arial"/>
                <w:sz w:val="20"/>
                <w:szCs w:val="20"/>
                <w:lang w:eastAsia="de-DE"/>
              </w:rPr>
            </w:pPr>
            <w:r w:rsidRPr="000C5EC2">
              <w:rPr>
                <w:rFonts w:ascii="Arial" w:eastAsia="Times New Roman" w:hAnsi="Arial" w:cs="Arial"/>
                <w:color w:val="0000FF"/>
                <w:sz w:val="20"/>
                <w:szCs w:val="20"/>
                <w:lang w:eastAsia="de-DE"/>
              </w:rPr>
              <w:t xml:space="preserve">Auswirkungen anthropogener Einflüsse auf die Biosphäre: hormonartig wirkende Substanzen in der Umwelt, Mikroplastik, invasive Arten </w:t>
            </w:r>
          </w:p>
          <w:p w14:paraId="1911E5D0" w14:textId="2896A737" w:rsidR="00CE0D78" w:rsidRPr="000C5EC2" w:rsidRDefault="00932311" w:rsidP="005B6B92">
            <w:pPr>
              <w:numPr>
                <w:ilvl w:val="0"/>
                <w:numId w:val="14"/>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Zusammenwirken unterschiedlicher (natur)wissenschaftlicher Disziplinen bei der Untersuchung globaler Veränderungen von Ökosystemen; ethische Bewertung verschiedener Handlungsoptionen durch eine Priorisierung von Werten </w:t>
            </w:r>
          </w:p>
        </w:tc>
        <w:tc>
          <w:tcPr>
            <w:tcW w:w="7280" w:type="dxa"/>
            <w:gridSpan w:val="3"/>
            <w:shd w:val="clear" w:color="auto" w:fill="CCCCFF"/>
          </w:tcPr>
          <w:p w14:paraId="41526366" w14:textId="5E2D44E1" w:rsidR="00932311" w:rsidRPr="000C5EC2" w:rsidRDefault="00932311" w:rsidP="005B6B92">
            <w:pPr>
              <w:pStyle w:val="Listenabsatz"/>
              <w:numPr>
                <w:ilvl w:val="0"/>
                <w:numId w:val="13"/>
              </w:numPr>
              <w:ind w:left="357" w:hanging="357"/>
              <w:contextualSpacing w:val="0"/>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beschreiben abiotische Wechselwirkungen, mit denen sich Biome gegen</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 xml:space="preserve">seitig beeinflussen, um ihre weltweite Vernetzung zu erläutern und die Auswirkungen von Störungen auf die Biodiversität zu modellieren. </w:t>
            </w:r>
          </w:p>
          <w:p w14:paraId="2C12A4DD" w14:textId="7F829737" w:rsidR="005B6B92" w:rsidRPr="000C5EC2" w:rsidRDefault="00932311" w:rsidP="005B6B92">
            <w:pPr>
              <w:pStyle w:val="Listenabsatz"/>
              <w:numPr>
                <w:ilvl w:val="0"/>
                <w:numId w:val="13"/>
              </w:numPr>
              <w:ind w:left="357" w:hanging="357"/>
              <w:contextualSpacing w:val="0"/>
              <w:rPr>
                <w:rFonts w:ascii="Arial" w:hAnsi="Arial" w:cs="Arial"/>
                <w:sz w:val="20"/>
                <w:szCs w:val="20"/>
              </w:rPr>
            </w:pPr>
            <w:r w:rsidRPr="000C5EC2">
              <w:rPr>
                <w:rFonts w:ascii="Arial" w:eastAsia="Times New Roman" w:hAnsi="Arial" w:cs="Arial"/>
                <w:color w:val="0000FF"/>
                <w:sz w:val="20"/>
                <w:szCs w:val="20"/>
                <w:lang w:eastAsia="de-DE"/>
              </w:rPr>
              <w:t xml:space="preserve">erklären an konkreten Beispielen die globalen Auswirkungen lokaler menschlicher Eingriffe auf die Biosphäre. </w:t>
            </w:r>
          </w:p>
          <w:p w14:paraId="5EAA2996" w14:textId="4FF01AC1" w:rsidR="00CE0D78" w:rsidRPr="000C5EC2" w:rsidRDefault="00932311" w:rsidP="005B6B92">
            <w:pPr>
              <w:pStyle w:val="Listenabsatz"/>
              <w:numPr>
                <w:ilvl w:val="0"/>
                <w:numId w:val="13"/>
              </w:numPr>
              <w:ind w:left="357" w:hanging="357"/>
              <w:contextualSpacing w:val="0"/>
              <w:rPr>
                <w:rFonts w:ascii="Arial" w:hAnsi="Arial" w:cs="Arial"/>
                <w:sz w:val="20"/>
                <w:szCs w:val="20"/>
              </w:rPr>
            </w:pPr>
            <w:r w:rsidRPr="000C5EC2">
              <w:rPr>
                <w:rFonts w:ascii="Arial" w:hAnsi="Arial" w:cs="Arial"/>
                <w:sz w:val="20"/>
                <w:szCs w:val="20"/>
              </w:rPr>
              <w:t>analysieren aus verschiedenen Perspektiven Dilemmata, die sich durch Interessenkonflikte aus der persönlichen Lebenswelt zwischen ökonomi</w:t>
            </w:r>
            <w:r w:rsidR="000C5EC2">
              <w:rPr>
                <w:rFonts w:ascii="Arial" w:hAnsi="Arial" w:cs="Arial"/>
                <w:sz w:val="20"/>
                <w:szCs w:val="20"/>
              </w:rPr>
              <w:softHyphen/>
            </w:r>
            <w:r w:rsidRPr="000C5EC2">
              <w:rPr>
                <w:rFonts w:ascii="Arial" w:hAnsi="Arial" w:cs="Arial"/>
                <w:sz w:val="20"/>
                <w:szCs w:val="20"/>
              </w:rPr>
              <w:t>schen und ökologischen Erfordernissen ergeben und leiten durch eine individuelle Wertehierarchisierung Handlungsoptionen für eine nachhaltige Lebensweise auf persönlicher und gesellschaftlicher Ebene ab.</w:t>
            </w:r>
          </w:p>
        </w:tc>
      </w:tr>
      <w:tr w:rsidR="00CE0D78" w:rsidRPr="008E3A37" w14:paraId="4597455C" w14:textId="77777777" w:rsidTr="00E117BA">
        <w:trPr>
          <w:gridAfter w:val="1"/>
          <w:wAfter w:w="36" w:type="dxa"/>
        </w:trPr>
        <w:tc>
          <w:tcPr>
            <w:tcW w:w="8642" w:type="dxa"/>
            <w:gridSpan w:val="2"/>
            <w:shd w:val="clear" w:color="auto" w:fill="DBDBDB" w:themeFill="accent3" w:themeFillTint="66"/>
          </w:tcPr>
          <w:p w14:paraId="44739371" w14:textId="66A819A5" w:rsidR="00CE0D78" w:rsidRPr="00147F92" w:rsidRDefault="00CE0D78" w:rsidP="00334199">
            <w:pPr>
              <w:rPr>
                <w:i/>
                <w:sz w:val="22"/>
                <w:szCs w:val="22"/>
              </w:rPr>
            </w:pPr>
            <w:r w:rsidRPr="00147F92">
              <w:rPr>
                <w:b/>
                <w:bCs/>
                <w:i/>
                <w:sz w:val="22"/>
                <w:szCs w:val="22"/>
              </w:rPr>
              <w:t>Das ist neu</w:t>
            </w:r>
            <w:r w:rsidRPr="00147F92">
              <w:rPr>
                <w:i/>
                <w:sz w:val="22"/>
                <w:szCs w:val="22"/>
              </w:rPr>
              <w:t xml:space="preserve"> gegenüber der Kursphase im G8:</w:t>
            </w:r>
          </w:p>
          <w:p w14:paraId="20EC30F1" w14:textId="587510F7" w:rsidR="00CE0D78" w:rsidRPr="00147F92" w:rsidRDefault="00594E5D" w:rsidP="00594E5D">
            <w:pPr>
              <w:rPr>
                <w:i/>
                <w:sz w:val="22"/>
                <w:szCs w:val="22"/>
              </w:rPr>
            </w:pPr>
            <w:r w:rsidRPr="00147F92">
              <w:rPr>
                <w:i/>
                <w:sz w:val="22"/>
                <w:szCs w:val="22"/>
              </w:rPr>
              <w:t>– der gesamte Lernbereich ist neu</w:t>
            </w:r>
          </w:p>
        </w:tc>
        <w:tc>
          <w:tcPr>
            <w:tcW w:w="5918" w:type="dxa"/>
            <w:gridSpan w:val="2"/>
            <w:shd w:val="clear" w:color="auto" w:fill="DBDBDB" w:themeFill="accent3" w:themeFillTint="66"/>
          </w:tcPr>
          <w:p w14:paraId="61A6CCB4" w14:textId="77777777" w:rsidR="00CE0D78" w:rsidRPr="00147F92" w:rsidRDefault="00CE0D78" w:rsidP="00334199">
            <w:pPr>
              <w:rPr>
                <w:i/>
                <w:sz w:val="22"/>
                <w:szCs w:val="22"/>
              </w:rPr>
            </w:pPr>
            <w:r w:rsidRPr="00147F92">
              <w:rPr>
                <w:b/>
                <w:bCs/>
                <w:i/>
                <w:sz w:val="22"/>
                <w:szCs w:val="22"/>
              </w:rPr>
              <w:t>Das wurde weggelassen</w:t>
            </w:r>
            <w:r w:rsidRPr="00147F92">
              <w:rPr>
                <w:i/>
                <w:sz w:val="22"/>
                <w:szCs w:val="22"/>
              </w:rPr>
              <w:t xml:space="preserve"> gegenüber der Kursphase im G8:</w:t>
            </w:r>
          </w:p>
          <w:p w14:paraId="201E4DB1" w14:textId="5707F0A7" w:rsidR="00594E5D" w:rsidRPr="00147F92" w:rsidRDefault="00594E5D" w:rsidP="00594E5D">
            <w:pPr>
              <w:jc w:val="center"/>
              <w:rPr>
                <w:i/>
                <w:sz w:val="22"/>
                <w:szCs w:val="22"/>
              </w:rPr>
            </w:pPr>
            <w:r w:rsidRPr="00147F92">
              <w:rPr>
                <w:i/>
                <w:sz w:val="22"/>
                <w:szCs w:val="22"/>
              </w:rPr>
              <w:t>–</w:t>
            </w:r>
          </w:p>
        </w:tc>
      </w:tr>
      <w:tr w:rsidR="00CE0D78" w:rsidRPr="008E3A37" w14:paraId="31BF63C6" w14:textId="77777777" w:rsidTr="00E117BA">
        <w:trPr>
          <w:gridAfter w:val="1"/>
          <w:wAfter w:w="36" w:type="dxa"/>
        </w:trPr>
        <w:tc>
          <w:tcPr>
            <w:tcW w:w="14560" w:type="dxa"/>
            <w:gridSpan w:val="4"/>
            <w:shd w:val="clear" w:color="auto" w:fill="FBE4D5" w:themeFill="accent2" w:themeFillTint="33"/>
          </w:tcPr>
          <w:p w14:paraId="574CADE4" w14:textId="77777777" w:rsidR="00CE0D78" w:rsidRPr="00147F92" w:rsidRDefault="00CE0D78" w:rsidP="00334199">
            <w:pPr>
              <w:rPr>
                <w:b/>
                <w:bCs/>
                <w:i/>
                <w:sz w:val="22"/>
                <w:szCs w:val="22"/>
              </w:rPr>
            </w:pPr>
            <w:r w:rsidRPr="00147F92">
              <w:rPr>
                <w:b/>
                <w:bCs/>
                <w:i/>
                <w:sz w:val="22"/>
                <w:szCs w:val="22"/>
              </w:rPr>
              <w:t>Vorwissen:</w:t>
            </w:r>
          </w:p>
          <w:p w14:paraId="33B7EB01" w14:textId="42DBD791" w:rsidR="00594E5D" w:rsidRPr="00147F92" w:rsidRDefault="00007761" w:rsidP="00334199">
            <w:pPr>
              <w:rPr>
                <w:i/>
                <w:sz w:val="22"/>
                <w:szCs w:val="22"/>
              </w:rPr>
            </w:pPr>
            <w:r>
              <w:rPr>
                <w:i/>
                <w:sz w:val="22"/>
                <w:szCs w:val="22"/>
              </w:rPr>
              <w:t xml:space="preserve">        –</w:t>
            </w:r>
          </w:p>
        </w:tc>
      </w:tr>
      <w:tr w:rsidR="00E117BA" w:rsidRPr="00D4177B" w14:paraId="61B84262" w14:textId="77777777" w:rsidTr="00E117BA">
        <w:tblPrEx>
          <w:tblCellMar>
            <w:top w:w="113" w:type="dxa"/>
            <w:bottom w:w="113" w:type="dxa"/>
          </w:tblCellMar>
        </w:tblPrEx>
        <w:tc>
          <w:tcPr>
            <w:tcW w:w="14596" w:type="dxa"/>
            <w:gridSpan w:val="5"/>
            <w:shd w:val="clear" w:color="auto" w:fill="CC99FF"/>
          </w:tcPr>
          <w:p w14:paraId="383844E8"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 xml:space="preserve">Lernbereich 1: </w:t>
            </w:r>
            <w:r w:rsidRPr="00D4177B">
              <w:rPr>
                <w:rFonts w:ascii="Arial" w:hAnsi="Arial" w:cs="Arial"/>
                <w:b/>
                <w:bCs/>
                <w:sz w:val="28"/>
                <w:szCs w:val="28"/>
              </w:rPr>
              <w:t xml:space="preserve">Biologische Sachverhalte und Zusammenhänge betrachten – </w:t>
            </w:r>
            <w:r w:rsidRPr="00D4177B">
              <w:rPr>
                <w:rStyle w:val="HTMLZitat"/>
                <w:rFonts w:ascii="Arial" w:hAnsi="Arial" w:cs="Arial"/>
                <w:b/>
                <w:i w:val="0"/>
                <w:sz w:val="28"/>
                <w:szCs w:val="28"/>
              </w:rPr>
              <w:t>Erkenntnisse gewinnen – kommunizieren – bewerten</w:t>
            </w:r>
          </w:p>
        </w:tc>
      </w:tr>
      <w:tr w:rsidR="00E117BA" w:rsidRPr="00F46F84" w14:paraId="2DE243B3" w14:textId="77777777" w:rsidTr="00E117BA">
        <w:tblPrEx>
          <w:tblCellMar>
            <w:top w:w="113" w:type="dxa"/>
            <w:bottom w:w="113" w:type="dxa"/>
          </w:tblCellMar>
        </w:tblPrEx>
        <w:tc>
          <w:tcPr>
            <w:tcW w:w="14596" w:type="dxa"/>
            <w:gridSpan w:val="5"/>
            <w:shd w:val="clear" w:color="auto" w:fill="CC99FF"/>
          </w:tcPr>
          <w:p w14:paraId="74D79C17" w14:textId="77777777" w:rsidR="00E117BA" w:rsidRDefault="00E117BA" w:rsidP="00F950F8">
            <w:pPr>
              <w:pStyle w:val="KeinLeerraum"/>
              <w:rPr>
                <w:rStyle w:val="HTMLZitat"/>
                <w:rFonts w:ascii="Arial" w:hAnsi="Arial" w:cs="Arial"/>
                <w:sz w:val="20"/>
                <w:szCs w:val="20"/>
              </w:rPr>
            </w:pPr>
            <w:r w:rsidRPr="00011354">
              <w:rPr>
                <w:rStyle w:val="HTMLZitat"/>
                <w:rFonts w:ascii="Arial" w:hAnsi="Arial" w:cs="Arial"/>
                <w:b/>
                <w:bCs/>
              </w:rPr>
              <w:t>Hinweis</w:t>
            </w:r>
            <w:r>
              <w:rPr>
                <w:rStyle w:val="HTMLZitat"/>
                <w:rFonts w:ascii="Arial" w:hAnsi="Arial" w:cs="Arial"/>
                <w:b/>
                <w:bCs/>
              </w:rPr>
              <w:t>e</w:t>
            </w:r>
            <w:r w:rsidRPr="00011354">
              <w:rPr>
                <w:rStyle w:val="HTMLZitat"/>
                <w:rFonts w:ascii="Arial" w:hAnsi="Arial" w:cs="Arial"/>
                <w:b/>
                <w:bCs/>
              </w:rPr>
              <w:t>:</w:t>
            </w:r>
            <w:r>
              <w:rPr>
                <w:rStyle w:val="HTMLZitat"/>
                <w:rFonts w:ascii="Arial" w:hAnsi="Arial" w:cs="Arial"/>
                <w:b/>
                <w:bCs/>
              </w:rPr>
              <w:t xml:space="preserve"> </w:t>
            </w:r>
            <w:r>
              <w:rPr>
                <w:rStyle w:val="HTMLZitat"/>
                <w:rFonts w:ascii="Arial" w:hAnsi="Arial" w:cs="Arial"/>
                <w:sz w:val="20"/>
                <w:szCs w:val="20"/>
              </w:rPr>
              <w:t>Die Kompetenzen und Kompetenzerwartungen sind in Lernbereich 1 so allgemein formuliert, dass es nicht sinnvoll ist, sie in die anderen Lernbereiche einzu</w:t>
            </w:r>
            <w:r>
              <w:rPr>
                <w:rStyle w:val="HTMLZitat"/>
                <w:rFonts w:ascii="Arial" w:hAnsi="Arial" w:cs="Arial"/>
                <w:sz w:val="20"/>
                <w:szCs w:val="20"/>
              </w:rPr>
              <w:softHyphen/>
              <w:t>fügen. Es sollte ab und zu (z. B. jeweils zu den Ferien) überprüft werden, welche Kompetenzen aus dem Lernbereich 1 im Unterricht bereits eingeübt wurden und welche noch ausstehen.</w:t>
            </w:r>
          </w:p>
          <w:p w14:paraId="0E8C0D2E" w14:textId="77777777" w:rsidR="00E117BA" w:rsidRPr="00F46F84" w:rsidRDefault="00E117BA" w:rsidP="00F950F8">
            <w:pPr>
              <w:pStyle w:val="KeinLeerraum"/>
              <w:rPr>
                <w:rStyle w:val="HTMLZitat"/>
                <w:rFonts w:ascii="Arial" w:hAnsi="Arial" w:cs="Arial"/>
                <w:sz w:val="20"/>
                <w:szCs w:val="20"/>
              </w:rPr>
            </w:pPr>
            <w:r>
              <w:rPr>
                <w:rStyle w:val="HTMLZitat"/>
                <w:rFonts w:ascii="Arial" w:hAnsi="Arial" w:cs="Arial"/>
                <w:sz w:val="20"/>
                <w:szCs w:val="20"/>
              </w:rPr>
              <w:t>Lernbereich 1 gilt in identischer Formulierung für die Kurse mit grundlegendem und erweitertem Anforderungsniveau sowie für die 12. und 13. Jahrgangsstufe. (Die einzige Abweichung steht derzeit (November 2022) in der 13. Jahrgangsstufe, gA, dritter Punkt bei den Kompetenzerwartungen. Das ist aber laut Lehr-plankommission eine fehlerhafte Angabe und wird hoffentlich bald korrigiert.)</w:t>
            </w:r>
          </w:p>
        </w:tc>
      </w:tr>
    </w:tbl>
    <w:p w14:paraId="5C4C0763" w14:textId="77777777" w:rsidR="00E117BA" w:rsidRPr="00D4177B" w:rsidRDefault="00E117BA" w:rsidP="00E117BA">
      <w:pPr>
        <w:rPr>
          <w:rFonts w:ascii="Arial" w:hAnsi="Arial" w:cs="Arial"/>
        </w:rPr>
      </w:pPr>
    </w:p>
    <w:tbl>
      <w:tblPr>
        <w:tblStyle w:val="Tabellenraster"/>
        <w:tblW w:w="14596" w:type="dxa"/>
        <w:tblLook w:val="04A0" w:firstRow="1" w:lastRow="0" w:firstColumn="1" w:lastColumn="0" w:noHBand="0" w:noVBand="1"/>
      </w:tblPr>
      <w:tblGrid>
        <w:gridCol w:w="3681"/>
        <w:gridCol w:w="10915"/>
      </w:tblGrid>
      <w:tr w:rsidR="00E117BA" w:rsidRPr="00D4177B" w14:paraId="63EDED0A" w14:textId="77777777" w:rsidTr="00F950F8">
        <w:tc>
          <w:tcPr>
            <w:tcW w:w="14596" w:type="dxa"/>
            <w:gridSpan w:val="2"/>
            <w:shd w:val="clear" w:color="auto" w:fill="CC99FF"/>
          </w:tcPr>
          <w:p w14:paraId="6BC4473D"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1.1: Sachkompetenz</w:t>
            </w:r>
          </w:p>
        </w:tc>
      </w:tr>
      <w:tr w:rsidR="00E117BA" w:rsidRPr="00D4177B" w14:paraId="6C3CDA21" w14:textId="77777777" w:rsidTr="00F950F8">
        <w:tc>
          <w:tcPr>
            <w:tcW w:w="3681" w:type="dxa"/>
            <w:shd w:val="clear" w:color="auto" w:fill="FFFFCC"/>
          </w:tcPr>
          <w:p w14:paraId="39AB7878"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02395349"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55DF5C6F" w14:textId="77777777" w:rsidTr="00F950F8">
        <w:tc>
          <w:tcPr>
            <w:tcW w:w="3681" w:type="dxa"/>
            <w:shd w:val="clear" w:color="auto" w:fill="FFFFCC"/>
          </w:tcPr>
          <w:p w14:paraId="7589102F" w14:textId="77777777" w:rsidR="00E117BA" w:rsidRPr="00D4177B" w:rsidRDefault="00E117BA" w:rsidP="00E117BA">
            <w:pPr>
              <w:pStyle w:val="KeinLeerraum"/>
              <w:numPr>
                <w:ilvl w:val="0"/>
                <w:numId w:val="18"/>
              </w:numPr>
              <w:ind w:left="357" w:hanging="357"/>
              <w:rPr>
                <w:rStyle w:val="HTMLZitat"/>
                <w:rFonts w:ascii="Arial" w:hAnsi="Arial" w:cs="Arial"/>
                <w:bCs/>
                <w:i w:val="0"/>
                <w:sz w:val="20"/>
                <w:szCs w:val="20"/>
              </w:rPr>
            </w:pPr>
            <w:r w:rsidRPr="00D4177B">
              <w:rPr>
                <w:rStyle w:val="HTMLZitat"/>
                <w:rFonts w:ascii="Arial" w:hAnsi="Arial" w:cs="Arial"/>
                <w:bCs/>
                <w:i w:val="0"/>
                <w:sz w:val="20"/>
                <w:szCs w:val="20"/>
              </w:rPr>
              <w:t>Biologische Sachverhalte betrachten</w:t>
            </w:r>
          </w:p>
          <w:p w14:paraId="263ED715" w14:textId="77777777" w:rsidR="00E117BA" w:rsidRPr="00D4177B" w:rsidRDefault="00E117BA" w:rsidP="00E117BA">
            <w:pPr>
              <w:pStyle w:val="KeinLeerraum"/>
              <w:numPr>
                <w:ilvl w:val="0"/>
                <w:numId w:val="18"/>
              </w:numPr>
              <w:ind w:left="357" w:hanging="357"/>
              <w:rPr>
                <w:rStyle w:val="HTMLZitat"/>
                <w:rFonts w:ascii="Arial" w:hAnsi="Arial" w:cs="Arial"/>
                <w:b/>
                <w:i w:val="0"/>
                <w:sz w:val="20"/>
                <w:szCs w:val="20"/>
              </w:rPr>
            </w:pPr>
            <w:r w:rsidRPr="00D4177B">
              <w:rPr>
                <w:rStyle w:val="HTMLZitat"/>
                <w:rFonts w:ascii="Arial" w:hAnsi="Arial" w:cs="Arial"/>
                <w:bCs/>
                <w:i w:val="0"/>
                <w:sz w:val="20"/>
                <w:szCs w:val="20"/>
              </w:rPr>
              <w:t>Zusammenhänge in lebenden Systemen betrachten</w:t>
            </w:r>
          </w:p>
        </w:tc>
        <w:tc>
          <w:tcPr>
            <w:tcW w:w="10915" w:type="dxa"/>
            <w:shd w:val="clear" w:color="auto" w:fill="CCCCFF"/>
          </w:tcPr>
          <w:p w14:paraId="53CE0BC8"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beschreiben und erläutern biologische Sachverhalte, Phänomene und An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wendungen der Biologie sachgerecht. Zur Strukturierung und Erschließung nutzen sie Basiskonzepte und binden fachübergreifende Aspekte ein. </w:t>
            </w:r>
          </w:p>
          <w:p w14:paraId="22A6D89E"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formulieren zu biologischen Phänomenen sowie Anwendungen der Biologie theoriegeleitet Hypothesen und Aus</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sagen. </w:t>
            </w:r>
          </w:p>
          <w:p w14:paraId="75D0DA85"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erschließen und erläutern mithilfe von Basiskonzepten strukturiert die Eigen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schaften lebender Systeme unter quali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tativen und quantitativen Aspekten. Dabei stellen sie Vernetzungen zwischen Systemebenen (Molekular- bis Bio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sphärenebene) her. </w:t>
            </w:r>
          </w:p>
          <w:p w14:paraId="685C1833"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erläutern Prozesse in und zwischen lebenden Systemen sowie zwischen lebenden Systemen und ihrer Umwelt. </w:t>
            </w:r>
          </w:p>
          <w:p w14:paraId="30194E58" w14:textId="77777777" w:rsidR="00E117BA" w:rsidRPr="00D4177B" w:rsidRDefault="00E117BA" w:rsidP="00E117BA">
            <w:pPr>
              <w:pStyle w:val="Listenabsatz"/>
              <w:framePr w:wrap="notBeside" w:vAnchor="text" w:hAnchor="text" w:y="1"/>
              <w:numPr>
                <w:ilvl w:val="0"/>
                <w:numId w:val="19"/>
              </w:numPr>
              <w:ind w:left="357" w:hanging="357"/>
              <w:rPr>
                <w:rStyle w:val="HTMLZitat"/>
                <w:rFonts w:ascii="Arial" w:hAnsi="Arial" w:cs="Arial"/>
                <w:i w:val="0"/>
                <w:iCs w:val="0"/>
                <w:sz w:val="20"/>
                <w:szCs w:val="20"/>
              </w:rPr>
            </w:pPr>
            <w:r w:rsidRPr="00D4177B">
              <w:rPr>
                <w:rFonts w:ascii="Arial" w:hAnsi="Arial" w:cs="Arial"/>
                <w:sz w:val="20"/>
                <w:szCs w:val="20"/>
              </w:rPr>
              <w:t>erläutern die Entstehung und Bedeutung von Biodiversität sowie Gründe für deren Schutz und nachhaltige Nutzung.</w:t>
            </w:r>
          </w:p>
        </w:tc>
      </w:tr>
      <w:tr w:rsidR="00E117BA" w:rsidRPr="00D4177B" w14:paraId="1D96B985" w14:textId="77777777" w:rsidTr="00F950F8">
        <w:tc>
          <w:tcPr>
            <w:tcW w:w="14596" w:type="dxa"/>
            <w:gridSpan w:val="2"/>
            <w:shd w:val="clear" w:color="auto" w:fill="CC99FF"/>
          </w:tcPr>
          <w:p w14:paraId="5002FC52"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1.2: Erkenntnisgewinnungskompetenz</w:t>
            </w:r>
          </w:p>
        </w:tc>
      </w:tr>
      <w:tr w:rsidR="00E117BA" w:rsidRPr="00D4177B" w14:paraId="2460CC83" w14:textId="77777777" w:rsidTr="00F950F8">
        <w:tc>
          <w:tcPr>
            <w:tcW w:w="3681" w:type="dxa"/>
            <w:shd w:val="clear" w:color="auto" w:fill="FFFFCC"/>
          </w:tcPr>
          <w:p w14:paraId="3A57F417"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5B3BE8DA"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0C9EE9A8" w14:textId="77777777" w:rsidTr="00F950F8">
        <w:tc>
          <w:tcPr>
            <w:tcW w:w="3681" w:type="dxa"/>
            <w:shd w:val="clear" w:color="auto" w:fill="FFFFCC"/>
          </w:tcPr>
          <w:p w14:paraId="309284D9" w14:textId="77777777" w:rsidR="00E117BA" w:rsidRPr="00D4177B" w:rsidRDefault="00E117BA" w:rsidP="00E117BA">
            <w:pPr>
              <w:numPr>
                <w:ilvl w:val="0"/>
                <w:numId w:val="20"/>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Fragestellungen und Hypothesen auf Basis von Beobachtungen und Theorien entwickeln</w:t>
            </w:r>
          </w:p>
          <w:p w14:paraId="7FFF48B4" w14:textId="77777777" w:rsidR="00E117BA" w:rsidRPr="00D4177B" w:rsidRDefault="00E117BA" w:rsidP="00E117BA">
            <w:pPr>
              <w:numPr>
                <w:ilvl w:val="0"/>
                <w:numId w:val="20"/>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Fachspezifische Modelle und Verfahren charakterisieren, auswählen und zur Untersuchung von Sachverhalten nutzen</w:t>
            </w:r>
          </w:p>
          <w:p w14:paraId="7F95135A" w14:textId="77777777" w:rsidR="00E117BA" w:rsidRPr="00D4177B" w:rsidRDefault="00E117BA" w:rsidP="00E117BA">
            <w:pPr>
              <w:numPr>
                <w:ilvl w:val="0"/>
                <w:numId w:val="20"/>
              </w:numPr>
              <w:spacing w:before="100" w:beforeAutospacing="1" w:after="100" w:afterAutospacing="1"/>
              <w:ind w:left="357" w:hanging="357"/>
              <w:rPr>
                <w:rFonts w:ascii="Arial" w:hAnsi="Arial" w:cs="Arial"/>
                <w:b/>
                <w:iCs/>
                <w:sz w:val="20"/>
                <w:szCs w:val="20"/>
              </w:rPr>
            </w:pPr>
            <w:r w:rsidRPr="00D4177B">
              <w:rPr>
                <w:rFonts w:ascii="Arial" w:eastAsia="Times New Roman" w:hAnsi="Arial" w:cs="Arial"/>
                <w:sz w:val="20"/>
                <w:szCs w:val="20"/>
                <w:lang w:eastAsia="de-DE"/>
              </w:rPr>
              <w:t>Erkenntnisprozesse und Ergebnisse interpretieren und reflektieren</w:t>
            </w:r>
          </w:p>
          <w:p w14:paraId="15146E8A" w14:textId="77777777" w:rsidR="00E117BA" w:rsidRPr="00D4177B" w:rsidRDefault="00E117BA" w:rsidP="00E117BA">
            <w:pPr>
              <w:numPr>
                <w:ilvl w:val="0"/>
                <w:numId w:val="20"/>
              </w:numPr>
              <w:spacing w:before="100" w:beforeAutospacing="1" w:after="100" w:afterAutospacing="1"/>
              <w:ind w:left="357" w:hanging="357"/>
              <w:rPr>
                <w:rStyle w:val="HTMLZitat"/>
                <w:rFonts w:ascii="Arial" w:hAnsi="Arial" w:cs="Arial"/>
                <w:b/>
                <w:i w:val="0"/>
                <w:sz w:val="20"/>
                <w:szCs w:val="20"/>
              </w:rPr>
            </w:pPr>
            <w:r w:rsidRPr="00D4177B">
              <w:rPr>
                <w:rFonts w:ascii="Arial" w:eastAsia="Times New Roman" w:hAnsi="Arial" w:cs="Arial"/>
                <w:sz w:val="20"/>
                <w:szCs w:val="20"/>
                <w:lang w:eastAsia="de-DE"/>
              </w:rPr>
              <w:t>Merkmale wissenschaftlicher Aussagen und Methoden charakteri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ren und reflektieren</w:t>
            </w:r>
          </w:p>
        </w:tc>
        <w:tc>
          <w:tcPr>
            <w:tcW w:w="10915" w:type="dxa"/>
            <w:shd w:val="clear" w:color="auto" w:fill="CCCCFF"/>
          </w:tcPr>
          <w:p w14:paraId="4BE16DF0"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identifizieren und entwickeln ausgehend von Phänomenen und Beobach</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tun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gen Fragestellungen zu biologischen Sachverhalten und stellen theorie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geleitet Hypothesen zu ihrer Bearbeitung auf. </w:t>
            </w:r>
          </w:p>
          <w:p w14:paraId="224366CF"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planen und führen hypothesengeleitete Beobachtungen, Vergleiche, Experi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mente und Modellierungen unter Berück</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sichtigung des jeweiligen Variablen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gefüges bzw. der Variablenkontrolle durch und protokollieren sie. </w:t>
            </w:r>
          </w:p>
          <w:p w14:paraId="0ECBC5C7"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nehmen qualitative und quantitative Daten auch mithilfe digitaler Werkzeuge auf und werten sie aus. </w:t>
            </w:r>
          </w:p>
          <w:p w14:paraId="3A6F2E12"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wenden Labor- und freilandbiologische Geräte und Techniken sachgerecht und unter Berücksichtigung der Sicher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heitsbestimmungen an. </w:t>
            </w:r>
          </w:p>
          <w:p w14:paraId="56474D04"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finden in erhobenen oder recherchierten Daten Strukturen, Beziehungen und Trends, erklären diese theoriebezogen und ziehen Schlussfolgerungen. </w:t>
            </w:r>
          </w:p>
          <w:p w14:paraId="0862828D"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die eigenen Ergebnisse und den eigenen Prozess der Erkenntnis</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gewinnung, indem sie die Gültigkeit von Daten beurteilen, mögliche Fehler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quellen ermitteln sowie Möglichkeiten und Grenzen von Modellen diskutieren. </w:t>
            </w:r>
          </w:p>
          <w:p w14:paraId="46370482"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widerlegen oder stützen die Hypothese (Hypothesenrückbezug). </w:t>
            </w:r>
          </w:p>
          <w:p w14:paraId="47B4CC4A"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bei der Interpretation von Untersuchungsbefunden fachübergreifende Bezüge her. </w:t>
            </w:r>
          </w:p>
          <w:p w14:paraId="7E0DFD48"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Möglichkeiten und Grenzen des konkreten Erkenntnisgewin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nungsprozesses sowie der gewonnenen 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kenntnisse (z. B. Reproduzier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barkeit, Falsifizierbarkeit, Intersubjektivität, logische Konsistenz, Vorläufig</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keit). </w:t>
            </w:r>
          </w:p>
          <w:p w14:paraId="79BAC184" w14:textId="77777777" w:rsidR="00E117BA" w:rsidRPr="00D4177B" w:rsidRDefault="00E117BA" w:rsidP="00E117BA">
            <w:pPr>
              <w:pStyle w:val="KeinLeerraum"/>
              <w:numPr>
                <w:ilvl w:val="0"/>
                <w:numId w:val="21"/>
              </w:numPr>
              <w:ind w:left="357" w:hanging="357"/>
              <w:rPr>
                <w:rStyle w:val="HTMLZitat"/>
                <w:rFonts w:ascii="Arial" w:hAnsi="Arial" w:cs="Arial"/>
                <w:b/>
                <w:i w:val="0"/>
                <w:sz w:val="20"/>
                <w:szCs w:val="20"/>
              </w:rPr>
            </w:pPr>
            <w:r w:rsidRPr="00D4177B">
              <w:rPr>
                <w:rFonts w:ascii="Arial" w:hAnsi="Arial" w:cs="Arial"/>
                <w:sz w:val="20"/>
                <w:szCs w:val="20"/>
              </w:rPr>
              <w:lastRenderedPageBreak/>
              <w:t>reflektieren die Kriterien wissenschaftlicher Wissensproduktion (Evidenz</w:t>
            </w:r>
            <w:r>
              <w:rPr>
                <w:rFonts w:ascii="Arial" w:hAnsi="Arial" w:cs="Arial"/>
                <w:sz w:val="20"/>
                <w:szCs w:val="20"/>
              </w:rPr>
              <w:softHyphen/>
            </w:r>
            <w:r w:rsidRPr="00D4177B">
              <w:rPr>
                <w:rFonts w:ascii="Arial" w:hAnsi="Arial" w:cs="Arial"/>
                <w:sz w:val="20"/>
                <w:szCs w:val="20"/>
              </w:rPr>
              <w:t>basierung, Theorieorientierung), sowie die Bedingungen und Eigenschaften biologischer Erkenntnisgewinnung.</w:t>
            </w:r>
          </w:p>
        </w:tc>
      </w:tr>
      <w:tr w:rsidR="00E117BA" w:rsidRPr="00D4177B" w14:paraId="2720B298" w14:textId="77777777" w:rsidTr="00F950F8">
        <w:tc>
          <w:tcPr>
            <w:tcW w:w="14596" w:type="dxa"/>
            <w:gridSpan w:val="2"/>
            <w:shd w:val="clear" w:color="auto" w:fill="CC99FF"/>
          </w:tcPr>
          <w:p w14:paraId="47767985"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1.3: Kommunikationskompetenz</w:t>
            </w:r>
          </w:p>
        </w:tc>
      </w:tr>
      <w:tr w:rsidR="00E117BA" w:rsidRPr="00D4177B" w14:paraId="248800CB" w14:textId="77777777" w:rsidTr="00F950F8">
        <w:tc>
          <w:tcPr>
            <w:tcW w:w="3681" w:type="dxa"/>
            <w:shd w:val="clear" w:color="auto" w:fill="FFFFCC"/>
          </w:tcPr>
          <w:p w14:paraId="2C702B71"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663F46B2"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5820231B" w14:textId="77777777" w:rsidTr="00F950F8">
        <w:tc>
          <w:tcPr>
            <w:tcW w:w="3681" w:type="dxa"/>
            <w:shd w:val="clear" w:color="auto" w:fill="FFFFCC"/>
          </w:tcPr>
          <w:p w14:paraId="10933554" w14:textId="77777777" w:rsidR="00E117BA" w:rsidRPr="00D4177B" w:rsidRDefault="00E117BA" w:rsidP="00E117BA">
            <w:pPr>
              <w:numPr>
                <w:ilvl w:val="0"/>
                <w:numId w:val="22"/>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Informationen erschließen</w:t>
            </w:r>
          </w:p>
          <w:p w14:paraId="7A719939" w14:textId="77777777" w:rsidR="00E117BA" w:rsidRPr="00D4177B" w:rsidRDefault="00E117BA" w:rsidP="00E117BA">
            <w:pPr>
              <w:numPr>
                <w:ilvl w:val="0"/>
                <w:numId w:val="22"/>
              </w:numPr>
              <w:spacing w:before="100" w:beforeAutospacing="1" w:after="100" w:afterAutospacing="1"/>
              <w:ind w:left="357" w:hanging="357"/>
              <w:rPr>
                <w:rFonts w:ascii="Arial" w:hAnsi="Arial" w:cs="Arial"/>
                <w:iCs/>
                <w:sz w:val="20"/>
                <w:szCs w:val="20"/>
              </w:rPr>
            </w:pPr>
            <w:r w:rsidRPr="00D4177B">
              <w:rPr>
                <w:rFonts w:ascii="Arial" w:eastAsia="Times New Roman" w:hAnsi="Arial" w:cs="Arial"/>
                <w:sz w:val="20"/>
                <w:szCs w:val="20"/>
                <w:lang w:eastAsia="de-DE"/>
              </w:rPr>
              <w:t>Informationen aufbereiten</w:t>
            </w:r>
          </w:p>
          <w:p w14:paraId="73102B5F" w14:textId="77777777" w:rsidR="00E117BA" w:rsidRPr="00D4177B" w:rsidRDefault="00E117BA" w:rsidP="00E117BA">
            <w:pPr>
              <w:numPr>
                <w:ilvl w:val="0"/>
                <w:numId w:val="22"/>
              </w:numPr>
              <w:spacing w:before="100" w:beforeAutospacing="1" w:after="100" w:afterAutospacing="1"/>
              <w:ind w:left="357" w:hanging="357"/>
              <w:rPr>
                <w:rStyle w:val="HTMLZitat"/>
                <w:rFonts w:ascii="Arial" w:hAnsi="Arial" w:cs="Arial"/>
                <w:i w:val="0"/>
                <w:sz w:val="20"/>
                <w:szCs w:val="20"/>
              </w:rPr>
            </w:pPr>
            <w:r w:rsidRPr="00D4177B">
              <w:rPr>
                <w:rFonts w:ascii="Arial" w:eastAsia="Times New Roman" w:hAnsi="Arial" w:cs="Arial"/>
                <w:sz w:val="20"/>
                <w:szCs w:val="20"/>
                <w:lang w:eastAsia="de-DE"/>
              </w:rPr>
              <w:t>Informationen austauschen und wissenschaftlich diskutieren</w:t>
            </w:r>
          </w:p>
        </w:tc>
        <w:tc>
          <w:tcPr>
            <w:tcW w:w="10915" w:type="dxa"/>
            <w:shd w:val="clear" w:color="auto" w:fill="CCCCFF"/>
          </w:tcPr>
          <w:p w14:paraId="4E5CCB87"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recherchieren zu biologischen Sachverhalten und anwendungsbezogenen Fragestellungen zielgerichtet in analogen und digitalen Medien. Sie wählen aus für ihre Zwecke passenden Quellen relevante und aussagekräftige Informa</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tionen und Daten aus. Dabei erschließen sie Informationen aus Darstellungsformen unterschiedlicher Komplexität. </w:t>
            </w:r>
          </w:p>
          <w:p w14:paraId="58F8E92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Herkunft, Qualität und Vertrauenswürdigkeit von verwendeten Quellen und Medien sowie darin enthal</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tene Darstellungsformen im Zusam</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menhang mit der Intention der Autorin/des Autors. Sie prüfen die Überein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stim</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mung verschiedener Quellen im Hinblick auf deren Aussagen. </w:t>
            </w:r>
          </w:p>
          <w:p w14:paraId="6015B20B"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strukturieren und interpretieren ausgewählte Informationen und leiten Schlussfolgerungen ab. Dazu nutzen sie geeignete Darstellungsformen und überführen diese ineinander. </w:t>
            </w:r>
          </w:p>
          <w:p w14:paraId="3B5C3C45" w14:textId="5680A0AF" w:rsidR="00E117BA" w:rsidRPr="00576F8C" w:rsidRDefault="00E117BA" w:rsidP="00E117BA">
            <w:pPr>
              <w:pStyle w:val="Listenabsatz"/>
              <w:framePr w:wrap="notBeside" w:vAnchor="text" w:hAnchor="text" w:y="1"/>
              <w:numPr>
                <w:ilvl w:val="0"/>
                <w:numId w:val="23"/>
              </w:numPr>
              <w:ind w:left="357" w:hanging="357"/>
              <w:rPr>
                <w:rFonts w:ascii="Arial" w:eastAsia="Times New Roman" w:hAnsi="Arial" w:cs="Arial"/>
                <w:b/>
                <w:bCs/>
                <w:sz w:val="20"/>
                <w:szCs w:val="20"/>
                <w:lang w:eastAsia="de-DE"/>
              </w:rPr>
            </w:pPr>
            <w:r w:rsidRPr="00D4177B">
              <w:rPr>
                <w:rFonts w:ascii="Arial" w:eastAsia="Times New Roman" w:hAnsi="Arial" w:cs="Arial"/>
                <w:sz w:val="20"/>
                <w:szCs w:val="20"/>
                <w:lang w:eastAsia="de-DE"/>
              </w:rPr>
              <w:t>unterscheiden zwischen Alltags- und Fachsprache sowie zwischen funktio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nalen und kausalen Erklärungen</w:t>
            </w:r>
            <w:r w:rsidRPr="00576F8C">
              <w:rPr>
                <w:rFonts w:ascii="Arial" w:eastAsia="Times New Roman" w:hAnsi="Arial" w:cs="Arial"/>
                <w:b/>
                <w:bCs/>
                <w:sz w:val="20"/>
                <w:szCs w:val="20"/>
                <w:lang w:eastAsia="de-DE"/>
              </w:rPr>
              <w:t xml:space="preserve">. Sie erklären Sachverhalte aus proximater und ultimater Sicht, ohne dabei finale Begründungen zu nutzen. </w:t>
            </w:r>
            <w:r w:rsidR="00576F8C">
              <w:rPr>
                <w:rFonts w:ascii="Arial" w:eastAsia="Times New Roman" w:hAnsi="Arial" w:cs="Arial"/>
                <w:b/>
                <w:bCs/>
                <w:sz w:val="20"/>
                <w:szCs w:val="20"/>
                <w:lang w:eastAsia="de-DE"/>
              </w:rPr>
              <w:t>*</w:t>
            </w:r>
          </w:p>
          <w:p w14:paraId="5C80E89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verarbeiten sach-, adressaten- und situationsgerecht Informationen zu biolo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gischen Sachverhalten. </w:t>
            </w:r>
          </w:p>
          <w:p w14:paraId="58682500"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präsentieren biologische Sachverhalte sowie Lern- und Arbeitsergebnisse unter Einsatz sach-, adressaten- und situationsgerechter Darstellungsformen mithilfe analoger und digitaler Medien. </w:t>
            </w:r>
          </w:p>
          <w:p w14:paraId="2E604EA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prüfen die Urheberschaft, belegen verwendete Quellen und kennzeichnen Zitate. </w:t>
            </w:r>
          </w:p>
          <w:p w14:paraId="3FB6852F" w14:textId="77777777" w:rsidR="00E117BA" w:rsidRPr="00D4177B" w:rsidRDefault="00E117BA" w:rsidP="00E117BA">
            <w:pPr>
              <w:pStyle w:val="KeinLeerraum"/>
              <w:numPr>
                <w:ilvl w:val="0"/>
                <w:numId w:val="23"/>
              </w:numPr>
              <w:ind w:left="357" w:hanging="357"/>
              <w:rPr>
                <w:rStyle w:val="HTMLZitat"/>
                <w:rFonts w:ascii="Arial" w:hAnsi="Arial" w:cs="Arial"/>
                <w:i w:val="0"/>
                <w:sz w:val="20"/>
                <w:szCs w:val="20"/>
              </w:rPr>
            </w:pPr>
            <w:r w:rsidRPr="00D4177B">
              <w:rPr>
                <w:rFonts w:ascii="Arial" w:hAnsi="Arial" w:cs="Arial"/>
                <w:sz w:val="20"/>
                <w:szCs w:val="20"/>
              </w:rPr>
              <w:t>tauschen sich mit anderen konstruktiv über biologische Sachverhalte aus. Sie argumentieren dabei wissenschaftlich kriterien- und evidenzbasiert sowie situationsgerecht. Sie vertreten, reflektieren und korrigieren gegebenenfalls den eigenen Standpunkt.</w:t>
            </w:r>
          </w:p>
        </w:tc>
      </w:tr>
      <w:tr w:rsidR="00E117BA" w:rsidRPr="00D4177B" w14:paraId="64F87646" w14:textId="77777777" w:rsidTr="00F950F8">
        <w:tc>
          <w:tcPr>
            <w:tcW w:w="14596" w:type="dxa"/>
            <w:gridSpan w:val="2"/>
            <w:shd w:val="clear" w:color="auto" w:fill="CC99FF"/>
          </w:tcPr>
          <w:p w14:paraId="7B78D10A"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1.4: Bewertungskompetenz</w:t>
            </w:r>
          </w:p>
        </w:tc>
      </w:tr>
      <w:tr w:rsidR="00E117BA" w:rsidRPr="00D4177B" w14:paraId="2E466F38" w14:textId="77777777" w:rsidTr="00F950F8">
        <w:tc>
          <w:tcPr>
            <w:tcW w:w="3681" w:type="dxa"/>
            <w:shd w:val="clear" w:color="auto" w:fill="FFFFCC"/>
          </w:tcPr>
          <w:p w14:paraId="2ADE4F32"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2D90FCFE"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6B27D367" w14:textId="77777777" w:rsidTr="00F950F8">
        <w:tc>
          <w:tcPr>
            <w:tcW w:w="3681" w:type="dxa"/>
            <w:shd w:val="clear" w:color="auto" w:fill="FFFFCC"/>
          </w:tcPr>
          <w:p w14:paraId="5F25941A" w14:textId="77777777" w:rsidR="00E117BA" w:rsidRPr="00D4177B" w:rsidRDefault="00E117BA" w:rsidP="00E117BA">
            <w:pPr>
              <w:numPr>
                <w:ilvl w:val="0"/>
                <w:numId w:val="24"/>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Sachverhalte und Informationen multiperspektivisch beurteilen</w:t>
            </w:r>
          </w:p>
          <w:p w14:paraId="3FAFA4B4" w14:textId="77777777" w:rsidR="00E117BA" w:rsidRPr="00D4177B" w:rsidRDefault="00E117BA" w:rsidP="00E117BA">
            <w:pPr>
              <w:numPr>
                <w:ilvl w:val="0"/>
                <w:numId w:val="24"/>
              </w:numPr>
              <w:spacing w:before="100" w:beforeAutospacing="1" w:after="100" w:afterAutospacing="1"/>
              <w:ind w:left="357" w:hanging="357"/>
              <w:rPr>
                <w:rFonts w:ascii="Arial" w:eastAsia="Times New Roman" w:hAnsi="Arial" w:cs="Arial"/>
                <w:sz w:val="20"/>
                <w:szCs w:val="20"/>
                <w:lang w:eastAsia="de-DE"/>
              </w:rPr>
            </w:pPr>
            <w:r>
              <w:rPr>
                <w:rFonts w:ascii="Arial" w:eastAsia="Times New Roman" w:hAnsi="Arial" w:cs="Arial"/>
                <w:sz w:val="20"/>
                <w:szCs w:val="20"/>
                <w:lang w:eastAsia="de-DE"/>
              </w:rPr>
              <w:t>k</w:t>
            </w:r>
            <w:r w:rsidRPr="00D4177B">
              <w:rPr>
                <w:rFonts w:ascii="Arial" w:eastAsia="Times New Roman" w:hAnsi="Arial" w:cs="Arial"/>
                <w:sz w:val="20"/>
                <w:szCs w:val="20"/>
                <w:lang w:eastAsia="de-DE"/>
              </w:rPr>
              <w:t>riteriengeleitet Meinungen bilden und Entscheidungen treffen</w:t>
            </w:r>
          </w:p>
          <w:p w14:paraId="504E5F83" w14:textId="77777777" w:rsidR="00E117BA" w:rsidRPr="00D4177B" w:rsidRDefault="00E117BA" w:rsidP="00E117BA">
            <w:pPr>
              <w:numPr>
                <w:ilvl w:val="0"/>
                <w:numId w:val="24"/>
              </w:numPr>
              <w:spacing w:before="100" w:beforeAutospacing="1" w:after="100" w:afterAutospacing="1"/>
              <w:ind w:left="357" w:hanging="357"/>
              <w:rPr>
                <w:rStyle w:val="HTMLZitat"/>
                <w:rFonts w:ascii="Arial" w:eastAsia="Times New Roman" w:hAnsi="Arial" w:cs="Arial"/>
                <w:i w:val="0"/>
                <w:iCs w:val="0"/>
                <w:sz w:val="20"/>
                <w:szCs w:val="20"/>
                <w:lang w:eastAsia="de-DE"/>
              </w:rPr>
            </w:pPr>
            <w:r w:rsidRPr="00D4177B">
              <w:rPr>
                <w:rFonts w:ascii="Arial" w:eastAsia="Times New Roman" w:hAnsi="Arial" w:cs="Arial"/>
                <w:sz w:val="20"/>
                <w:szCs w:val="20"/>
                <w:lang w:eastAsia="de-DE"/>
              </w:rPr>
              <w:t>Entscheidungsprozesse und Folgen reflektieren</w:t>
            </w:r>
          </w:p>
        </w:tc>
        <w:tc>
          <w:tcPr>
            <w:tcW w:w="10915" w:type="dxa"/>
            <w:shd w:val="clear" w:color="auto" w:fill="CCCCFF"/>
          </w:tcPr>
          <w:p w14:paraId="69B3016C"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Sachverhalte im Hinblick auf ihre Bewertungsrelevanz und be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trachten relevante Sachverhalte aus unter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schiedlichen Perspektiven. </w:t>
            </w:r>
          </w:p>
          <w:p w14:paraId="134A8E76"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unterscheiden deskriptive und normative Aussagen und identifizieren Werte, die den normativen Aussagen zugrunde liegen. </w:t>
            </w:r>
          </w:p>
          <w:p w14:paraId="2E4812DE"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Quellen hinsichtlich ihrer Herkunft und in Bezug auf spezifische Interessenlagen. </w:t>
            </w:r>
          </w:p>
          <w:p w14:paraId="1E08ABDD"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Möglichkeiten und Grenzen biologischer Sichtweisen. </w:t>
            </w:r>
          </w:p>
          <w:p w14:paraId="4DB5EF43"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Bewertungskriterien auf, auch unter Berücksichtigung außerfachlicher Aspekte. </w:t>
            </w:r>
          </w:p>
          <w:p w14:paraId="57A8BD19"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bilden sich kriteriengeleitet Meinungen, indem sie die Handlungsoptionen auf der Basis reflektierter Wertvorstellungen abwägen, und treffen so Entschei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dungen auf der Grundlage von Sachinformationen und Werten. </w:t>
            </w:r>
          </w:p>
          <w:p w14:paraId="7F6B472A"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kurz- und langfristige, lokale und globale Folgen eigener und gesellschaftlicher Entscheidungen. </w:t>
            </w:r>
          </w:p>
          <w:p w14:paraId="5196035A"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den Prozess der Bewertung aus persönlicher, gesellschaftlicher und ethischer Perspektive. </w:t>
            </w:r>
          </w:p>
          <w:p w14:paraId="030B7F85" w14:textId="77777777" w:rsidR="00E117BA" w:rsidRPr="00D4177B" w:rsidRDefault="00E117BA" w:rsidP="00E117BA">
            <w:pPr>
              <w:pStyle w:val="Listenabsatz"/>
              <w:framePr w:wrap="notBeside" w:vAnchor="text" w:hAnchor="text" w:y="1"/>
              <w:numPr>
                <w:ilvl w:val="0"/>
                <w:numId w:val="25"/>
              </w:numPr>
              <w:ind w:left="357" w:hanging="357"/>
              <w:rPr>
                <w:rStyle w:val="HTMLZitat"/>
                <w:rFonts w:ascii="Arial" w:hAnsi="Arial" w:cs="Arial"/>
                <w:i w:val="0"/>
                <w:iCs w:val="0"/>
                <w:sz w:val="20"/>
                <w:szCs w:val="20"/>
              </w:rPr>
            </w:pPr>
            <w:r w:rsidRPr="00D4177B">
              <w:rPr>
                <w:rFonts w:ascii="Arial" w:hAnsi="Arial" w:cs="Arial"/>
                <w:sz w:val="20"/>
                <w:szCs w:val="20"/>
              </w:rPr>
              <w:t>beurteilen und bewerten Auswirkungen von Anwendungen der Biologie im Sinne einer nachhaltigen Entwicklung aus ökologischer, ökonomischer, poli</w:t>
            </w:r>
            <w:r>
              <w:rPr>
                <w:rFonts w:ascii="Arial" w:hAnsi="Arial" w:cs="Arial"/>
                <w:sz w:val="20"/>
                <w:szCs w:val="20"/>
              </w:rPr>
              <w:softHyphen/>
            </w:r>
            <w:r w:rsidRPr="00D4177B">
              <w:rPr>
                <w:rFonts w:ascii="Arial" w:hAnsi="Arial" w:cs="Arial"/>
                <w:sz w:val="20"/>
                <w:szCs w:val="20"/>
              </w:rPr>
              <w:t>tischer und sozialer Perspektive.</w:t>
            </w:r>
          </w:p>
        </w:tc>
      </w:tr>
    </w:tbl>
    <w:p w14:paraId="71E5F833" w14:textId="58828603" w:rsidR="00E117BA" w:rsidRDefault="00E117BA" w:rsidP="00E117BA">
      <w:pPr>
        <w:pStyle w:val="KeinLeerraum"/>
        <w:rPr>
          <w:rStyle w:val="HTMLZitat"/>
          <w:b/>
        </w:rPr>
      </w:pPr>
    </w:p>
    <w:p w14:paraId="7BEE5158" w14:textId="2C257F03" w:rsidR="0079710F" w:rsidRPr="00576F8C" w:rsidRDefault="00576F8C" w:rsidP="00E117BA">
      <w:pPr>
        <w:pStyle w:val="KeinLeerraum"/>
        <w:rPr>
          <w:rStyle w:val="HTMLZitat"/>
          <w:bCs/>
        </w:rPr>
      </w:pPr>
      <w:r w:rsidRPr="00576F8C">
        <w:rPr>
          <w:rStyle w:val="HTMLZitat"/>
          <w:bCs/>
        </w:rPr>
        <w:t>* Hervorhebung</w:t>
      </w:r>
      <w:r>
        <w:rPr>
          <w:rStyle w:val="HTMLZitat"/>
          <w:bCs/>
        </w:rPr>
        <w:t xml:space="preserve"> durch Nickl, denn diese Forderung taucht an keiner anderen Stelle mehr auf, ist aber von entscheidenden Bedeutung.</w:t>
      </w:r>
    </w:p>
    <w:p w14:paraId="225C02F3" w14:textId="77777777" w:rsidR="00E117BA" w:rsidRDefault="00E117BA" w:rsidP="00E117BA">
      <w:pPr>
        <w:pStyle w:val="KeinLeerraum"/>
        <w:rPr>
          <w:rStyle w:val="HTMLZitat"/>
          <w:b/>
        </w:rPr>
      </w:pPr>
    </w:p>
    <w:p w14:paraId="1BB7C5E2" w14:textId="742F32C2" w:rsidR="00BA60E6" w:rsidRPr="008E3A37" w:rsidRDefault="00BA60E6" w:rsidP="00BA60E6">
      <w:pPr>
        <w:rPr>
          <w:rFonts w:ascii="Arial" w:hAnsi="Arial" w:cs="Arial"/>
        </w:rPr>
      </w:pPr>
    </w:p>
    <w:p w14:paraId="24EE12B2" w14:textId="77777777" w:rsidR="001E0CC8" w:rsidRPr="008E3A37" w:rsidRDefault="001E0CC8" w:rsidP="001E0CC8">
      <w:pPr>
        <w:pStyle w:val="KeinLeerraum"/>
        <w:rPr>
          <w:rStyle w:val="HTMLZitat"/>
          <w:b/>
        </w:rPr>
      </w:pPr>
      <w:r w:rsidRPr="008E3A37">
        <w:rPr>
          <w:rStyle w:val="HTMLZitat"/>
          <w:b/>
        </w:rPr>
        <w:lastRenderedPageBreak/>
        <w:t>Hinweise:</w:t>
      </w:r>
    </w:p>
    <w:p w14:paraId="5C5004E3" w14:textId="77777777" w:rsidR="001E0CC8" w:rsidRPr="008E3A37" w:rsidRDefault="001E0CC8" w:rsidP="001E0CC8">
      <w:pPr>
        <w:pStyle w:val="KeinLeerraum"/>
        <w:spacing w:before="120"/>
        <w:rPr>
          <w:rStyle w:val="HTMLZitat"/>
        </w:rPr>
      </w:pPr>
      <w:r w:rsidRPr="008E3A37">
        <w:rPr>
          <w:rStyle w:val="HTMLZitat"/>
        </w:rPr>
        <w:t>Zur leichteren Lesbarkeit sind Inhalte und Kompetenzen einander gegenübergestellt.</w:t>
      </w:r>
    </w:p>
    <w:p w14:paraId="04D86A96" w14:textId="77777777" w:rsidR="001E0CC8" w:rsidRPr="008E3A37" w:rsidRDefault="001E0CC8" w:rsidP="001E0CC8">
      <w:pPr>
        <w:pStyle w:val="KeinLeerraum"/>
        <w:spacing w:before="120"/>
        <w:rPr>
          <w:rStyle w:val="HTMLZitat"/>
        </w:rPr>
      </w:pPr>
      <w:r w:rsidRPr="008E3A37">
        <w:rPr>
          <w:rStyle w:val="HTMLZitat"/>
        </w:rPr>
        <w:t>Die Reihenfolge ist insofern abgeändert, als der Lernbereich 1, der die übergreifenden Kompetenzen beschreibt, an den Schluss gestellt ist.</w:t>
      </w:r>
    </w:p>
    <w:p w14:paraId="7D7DA21A" w14:textId="77777777" w:rsidR="001E0CC8" w:rsidRPr="008E3A37" w:rsidRDefault="001E0CC8" w:rsidP="001E0CC8">
      <w:pPr>
        <w:pStyle w:val="KeinLeerraum"/>
        <w:spacing w:before="120"/>
        <w:rPr>
          <w:rStyle w:val="HTMLZitat"/>
        </w:rPr>
      </w:pPr>
      <w:r w:rsidRPr="008E3A37">
        <w:rPr>
          <w:rStyle w:val="HTMLZitat"/>
        </w:rPr>
        <w:t>Alle aufrecht stehenden Textteile sind wörtliche Zitate aus dem LehrplanPLUS; alle kursiv stehenden Textteile sind von mir zusammengefasst oder ergänzt.</w:t>
      </w:r>
    </w:p>
    <w:p w14:paraId="57C0C6B1" w14:textId="77777777" w:rsidR="001E0CC8" w:rsidRPr="008E3A37" w:rsidRDefault="001E0CC8" w:rsidP="001E0CC8">
      <w:pPr>
        <w:pStyle w:val="KeinLeerraum"/>
        <w:spacing w:before="120"/>
        <w:rPr>
          <w:rStyle w:val="HTMLZitat"/>
        </w:rPr>
      </w:pPr>
      <w:r w:rsidRPr="008E3A37">
        <w:rPr>
          <w:rStyle w:val="HTMLZitat"/>
        </w:rPr>
        <w:t>Bei jedem Lernbereich ist dargestellt, ...</w:t>
      </w:r>
    </w:p>
    <w:p w14:paraId="199348E6" w14:textId="77777777" w:rsidR="001E0CC8" w:rsidRPr="008E3A37" w:rsidRDefault="001E0CC8" w:rsidP="001E0CC8">
      <w:pPr>
        <w:pStyle w:val="KeinLeerraum"/>
        <w:rPr>
          <w:rStyle w:val="HTMLZitat"/>
        </w:rPr>
      </w:pPr>
      <w:r w:rsidRPr="008E3A37">
        <w:rPr>
          <w:rStyle w:val="HTMLZitat"/>
        </w:rPr>
        <w:t>... was gegenüber dem G8- Lehrplan neu aufgenommen wurde.</w:t>
      </w:r>
    </w:p>
    <w:p w14:paraId="426055CE" w14:textId="77777777" w:rsidR="001E0CC8" w:rsidRPr="008E3A37" w:rsidRDefault="001E0CC8" w:rsidP="001E0CC8">
      <w:pPr>
        <w:pStyle w:val="KeinLeerraum"/>
        <w:rPr>
          <w:rStyle w:val="HTMLZitat"/>
        </w:rPr>
      </w:pPr>
      <w:r w:rsidRPr="008E3A37">
        <w:rPr>
          <w:rStyle w:val="HTMLZitat"/>
        </w:rPr>
        <w:t>... was gegenüber dem G8- Lehrplan weggelassen wurde.</w:t>
      </w:r>
    </w:p>
    <w:p w14:paraId="04C886CC" w14:textId="77777777" w:rsidR="001E0CC8" w:rsidRPr="008E3A37" w:rsidRDefault="001E0CC8" w:rsidP="001E0CC8">
      <w:pPr>
        <w:pStyle w:val="KeinLeerraum"/>
        <w:rPr>
          <w:rStyle w:val="HTMLZitat"/>
        </w:rPr>
      </w:pPr>
      <w:r w:rsidRPr="008E3A37">
        <w:rPr>
          <w:rStyle w:val="HTMLZitat"/>
        </w:rPr>
        <w:t>... an welchen Stellen des LehrplanPLUS Vorwissen formuliert ist.</w:t>
      </w:r>
    </w:p>
    <w:p w14:paraId="1BE7F41D" w14:textId="77777777" w:rsidR="001E0CC8" w:rsidRPr="008E3A37" w:rsidRDefault="001E0CC8" w:rsidP="001E0CC8">
      <w:pPr>
        <w:rPr>
          <w:rFonts w:ascii="Arial" w:hAnsi="Arial" w:cs="Arial"/>
        </w:rPr>
      </w:pPr>
    </w:p>
    <w:p w14:paraId="2C8CB243" w14:textId="77777777" w:rsidR="001E0CC8" w:rsidRPr="006B2B99" w:rsidRDefault="001E0CC8" w:rsidP="001E0CC8">
      <w:pPr>
        <w:jc w:val="right"/>
        <w:rPr>
          <w:i/>
          <w:sz w:val="20"/>
          <w:szCs w:val="20"/>
        </w:rPr>
      </w:pPr>
      <w:r w:rsidRPr="008E3A37">
        <w:rPr>
          <w:i/>
          <w:sz w:val="20"/>
          <w:szCs w:val="20"/>
        </w:rPr>
        <w:t>Thomas Nickl, November 2022</w:t>
      </w:r>
    </w:p>
    <w:p w14:paraId="51BB3D81" w14:textId="17334F9D" w:rsidR="00BA60E6" w:rsidRPr="00BA60E6" w:rsidRDefault="00BA60E6" w:rsidP="00BA60E6">
      <w:pPr>
        <w:rPr>
          <w:rFonts w:ascii="Arial" w:hAnsi="Arial" w:cs="Arial"/>
        </w:rPr>
      </w:pPr>
    </w:p>
    <w:p w14:paraId="2681F408" w14:textId="627BA102" w:rsidR="00BA60E6" w:rsidRPr="00BA60E6" w:rsidRDefault="00BA60E6" w:rsidP="00BA60E6">
      <w:pPr>
        <w:rPr>
          <w:rFonts w:ascii="Arial" w:hAnsi="Arial" w:cs="Arial"/>
        </w:rPr>
      </w:pPr>
    </w:p>
    <w:p w14:paraId="3BDCBC38" w14:textId="1E2D78CD" w:rsidR="00BA60E6" w:rsidRPr="00BA60E6" w:rsidRDefault="00BA60E6" w:rsidP="00BA60E6">
      <w:pPr>
        <w:rPr>
          <w:rFonts w:ascii="Arial" w:hAnsi="Arial" w:cs="Arial"/>
        </w:rPr>
      </w:pPr>
    </w:p>
    <w:p w14:paraId="51801CC0" w14:textId="3ADBC825" w:rsidR="00BA60E6" w:rsidRPr="00BA60E6" w:rsidRDefault="00BA60E6" w:rsidP="00BA60E6">
      <w:pPr>
        <w:rPr>
          <w:rFonts w:ascii="Arial" w:hAnsi="Arial" w:cs="Arial"/>
        </w:rPr>
      </w:pPr>
    </w:p>
    <w:p w14:paraId="1C99F77B" w14:textId="59B7DA76" w:rsidR="00BA60E6" w:rsidRPr="00BA60E6" w:rsidRDefault="00BA60E6" w:rsidP="00BA60E6">
      <w:pPr>
        <w:rPr>
          <w:rFonts w:ascii="Arial" w:hAnsi="Arial" w:cs="Arial"/>
        </w:rPr>
      </w:pPr>
    </w:p>
    <w:p w14:paraId="7D44C438" w14:textId="52289300" w:rsidR="00BA60E6" w:rsidRPr="00BA60E6" w:rsidRDefault="00BA60E6" w:rsidP="00BA60E6">
      <w:pPr>
        <w:rPr>
          <w:rFonts w:ascii="Arial" w:hAnsi="Arial" w:cs="Arial"/>
        </w:rPr>
      </w:pPr>
    </w:p>
    <w:p w14:paraId="799C4E2C" w14:textId="7C6FF2C1" w:rsidR="00BA60E6" w:rsidRPr="00BA60E6" w:rsidRDefault="00BA60E6" w:rsidP="00BA60E6">
      <w:pPr>
        <w:rPr>
          <w:rFonts w:ascii="Arial" w:hAnsi="Arial" w:cs="Arial"/>
        </w:rPr>
      </w:pPr>
    </w:p>
    <w:p w14:paraId="6DC0D138" w14:textId="19273BF8" w:rsidR="00BA60E6" w:rsidRPr="00BA60E6" w:rsidRDefault="00BA60E6" w:rsidP="00BA60E6">
      <w:pPr>
        <w:rPr>
          <w:rFonts w:ascii="Arial" w:hAnsi="Arial" w:cs="Arial"/>
        </w:rPr>
      </w:pPr>
    </w:p>
    <w:p w14:paraId="11345EDB" w14:textId="2127AF28" w:rsidR="00BA60E6" w:rsidRPr="00BA60E6" w:rsidRDefault="00BA60E6" w:rsidP="00BA60E6">
      <w:pPr>
        <w:rPr>
          <w:rFonts w:ascii="Arial" w:hAnsi="Arial" w:cs="Arial"/>
        </w:rPr>
      </w:pPr>
    </w:p>
    <w:p w14:paraId="0A7762D5" w14:textId="21173BEE" w:rsidR="00BA60E6" w:rsidRPr="00BA60E6" w:rsidRDefault="00BA60E6" w:rsidP="00BA60E6">
      <w:pPr>
        <w:rPr>
          <w:rFonts w:ascii="Arial" w:hAnsi="Arial" w:cs="Arial"/>
        </w:rPr>
      </w:pPr>
    </w:p>
    <w:p w14:paraId="1362D5EE" w14:textId="51B5D557" w:rsidR="00BA60E6" w:rsidRPr="00BA60E6" w:rsidRDefault="00BA60E6" w:rsidP="00BA60E6">
      <w:pPr>
        <w:rPr>
          <w:rFonts w:ascii="Arial" w:hAnsi="Arial" w:cs="Arial"/>
        </w:rPr>
      </w:pPr>
    </w:p>
    <w:p w14:paraId="47C64831" w14:textId="1CCC549F" w:rsidR="00BA60E6" w:rsidRPr="00BA60E6" w:rsidRDefault="00BA60E6" w:rsidP="00BA60E6">
      <w:pPr>
        <w:rPr>
          <w:rFonts w:ascii="Arial" w:hAnsi="Arial" w:cs="Arial"/>
        </w:rPr>
      </w:pPr>
    </w:p>
    <w:p w14:paraId="65D722EA" w14:textId="09634BF8" w:rsidR="00BA60E6" w:rsidRPr="00BA60E6" w:rsidRDefault="00BA60E6" w:rsidP="00BA60E6">
      <w:pPr>
        <w:rPr>
          <w:rFonts w:ascii="Arial" w:hAnsi="Arial" w:cs="Arial"/>
        </w:rPr>
      </w:pPr>
    </w:p>
    <w:p w14:paraId="41661E38" w14:textId="05A21BDF" w:rsidR="00BA60E6" w:rsidRPr="00BA60E6" w:rsidRDefault="00BA60E6" w:rsidP="00BA60E6">
      <w:pPr>
        <w:rPr>
          <w:rFonts w:ascii="Arial" w:hAnsi="Arial" w:cs="Arial"/>
        </w:rPr>
      </w:pPr>
    </w:p>
    <w:p w14:paraId="3713DF1A" w14:textId="1062BEEA" w:rsidR="00BA60E6" w:rsidRPr="00BA60E6" w:rsidRDefault="00BA60E6" w:rsidP="00BA60E6">
      <w:pPr>
        <w:rPr>
          <w:rFonts w:ascii="Arial" w:hAnsi="Arial" w:cs="Arial"/>
        </w:rPr>
      </w:pPr>
    </w:p>
    <w:p w14:paraId="3742E203" w14:textId="1BE5601D" w:rsidR="00BA60E6" w:rsidRPr="00BA60E6" w:rsidRDefault="00BA60E6" w:rsidP="00BA60E6">
      <w:pPr>
        <w:rPr>
          <w:rFonts w:ascii="Arial" w:hAnsi="Arial" w:cs="Arial"/>
        </w:rPr>
      </w:pPr>
    </w:p>
    <w:p w14:paraId="49A4F5E7" w14:textId="587A6FB1" w:rsidR="00BA60E6" w:rsidRPr="00BA60E6" w:rsidRDefault="00BA60E6" w:rsidP="00BA60E6">
      <w:pPr>
        <w:rPr>
          <w:rFonts w:ascii="Arial" w:hAnsi="Arial" w:cs="Arial"/>
        </w:rPr>
      </w:pPr>
    </w:p>
    <w:p w14:paraId="6C1BABCB" w14:textId="77777777" w:rsidR="00BA60E6" w:rsidRPr="00BA60E6" w:rsidRDefault="00BA60E6" w:rsidP="00BA60E6">
      <w:pPr>
        <w:rPr>
          <w:rFonts w:ascii="Arial" w:hAnsi="Arial" w:cs="Arial"/>
        </w:rPr>
      </w:pPr>
    </w:p>
    <w:sectPr w:rsidR="00BA60E6" w:rsidRPr="00BA60E6" w:rsidSect="0079710F">
      <w:pgSz w:w="16838" w:h="11906" w:orient="landscape"/>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724"/>
    <w:multiLevelType w:val="hybridMultilevel"/>
    <w:tmpl w:val="C492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309FB"/>
    <w:multiLevelType w:val="hybridMultilevel"/>
    <w:tmpl w:val="6212C6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954BBC"/>
    <w:multiLevelType w:val="hybridMultilevel"/>
    <w:tmpl w:val="727431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D7271"/>
    <w:multiLevelType w:val="hybridMultilevel"/>
    <w:tmpl w:val="6E541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B2956"/>
    <w:multiLevelType w:val="multilevel"/>
    <w:tmpl w:val="160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0574E"/>
    <w:multiLevelType w:val="multilevel"/>
    <w:tmpl w:val="387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865"/>
    <w:multiLevelType w:val="hybridMultilevel"/>
    <w:tmpl w:val="7B4ED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DC0696"/>
    <w:multiLevelType w:val="hybridMultilevel"/>
    <w:tmpl w:val="BF9EA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93DBE"/>
    <w:multiLevelType w:val="multilevel"/>
    <w:tmpl w:val="33964B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71B08"/>
    <w:multiLevelType w:val="multilevel"/>
    <w:tmpl w:val="853605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03EAD"/>
    <w:multiLevelType w:val="multilevel"/>
    <w:tmpl w:val="5CE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264C4"/>
    <w:multiLevelType w:val="hybridMultilevel"/>
    <w:tmpl w:val="1DE68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1869CD"/>
    <w:multiLevelType w:val="multilevel"/>
    <w:tmpl w:val="754C6D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E6C68"/>
    <w:multiLevelType w:val="multilevel"/>
    <w:tmpl w:val="355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903DC"/>
    <w:multiLevelType w:val="multilevel"/>
    <w:tmpl w:val="6116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4614E"/>
    <w:multiLevelType w:val="multilevel"/>
    <w:tmpl w:val="685C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A43B4"/>
    <w:multiLevelType w:val="hybridMultilevel"/>
    <w:tmpl w:val="3B0A5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77906"/>
    <w:multiLevelType w:val="hybridMultilevel"/>
    <w:tmpl w:val="60BC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303A89"/>
    <w:multiLevelType w:val="hybridMultilevel"/>
    <w:tmpl w:val="CAA6D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6740E7"/>
    <w:multiLevelType w:val="hybridMultilevel"/>
    <w:tmpl w:val="53B4B5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1859C1"/>
    <w:multiLevelType w:val="hybridMultilevel"/>
    <w:tmpl w:val="030092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9F0AC4"/>
    <w:multiLevelType w:val="hybridMultilevel"/>
    <w:tmpl w:val="69E29F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BF45AD"/>
    <w:multiLevelType w:val="hybridMultilevel"/>
    <w:tmpl w:val="DF6243F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671684"/>
    <w:multiLevelType w:val="hybridMultilevel"/>
    <w:tmpl w:val="FD88D3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37EC6"/>
    <w:multiLevelType w:val="multilevel"/>
    <w:tmpl w:val="87E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447920">
    <w:abstractNumId w:val="3"/>
  </w:num>
  <w:num w:numId="2" w16cid:durableId="433403125">
    <w:abstractNumId w:val="13"/>
  </w:num>
  <w:num w:numId="3" w16cid:durableId="905653988">
    <w:abstractNumId w:val="11"/>
  </w:num>
  <w:num w:numId="4" w16cid:durableId="924454208">
    <w:abstractNumId w:val="14"/>
  </w:num>
  <w:num w:numId="5" w16cid:durableId="1064643611">
    <w:abstractNumId w:val="16"/>
  </w:num>
  <w:num w:numId="6" w16cid:durableId="449054396">
    <w:abstractNumId w:val="17"/>
  </w:num>
  <w:num w:numId="7" w16cid:durableId="148864197">
    <w:abstractNumId w:val="4"/>
  </w:num>
  <w:num w:numId="8" w16cid:durableId="1855683994">
    <w:abstractNumId w:val="10"/>
  </w:num>
  <w:num w:numId="9" w16cid:durableId="1226841839">
    <w:abstractNumId w:val="0"/>
  </w:num>
  <w:num w:numId="10" w16cid:durableId="1936551391">
    <w:abstractNumId w:val="15"/>
  </w:num>
  <w:num w:numId="11" w16cid:durableId="1412509586">
    <w:abstractNumId w:val="6"/>
  </w:num>
  <w:num w:numId="12" w16cid:durableId="1077747297">
    <w:abstractNumId w:val="5"/>
  </w:num>
  <w:num w:numId="13" w16cid:durableId="1017000003">
    <w:abstractNumId w:val="18"/>
  </w:num>
  <w:num w:numId="14" w16cid:durableId="878391835">
    <w:abstractNumId w:val="24"/>
  </w:num>
  <w:num w:numId="15" w16cid:durableId="1612667840">
    <w:abstractNumId w:val="7"/>
  </w:num>
  <w:num w:numId="16" w16cid:durableId="530457743">
    <w:abstractNumId w:val="1"/>
  </w:num>
  <w:num w:numId="17" w16cid:durableId="1070424229">
    <w:abstractNumId w:val="22"/>
  </w:num>
  <w:num w:numId="18" w16cid:durableId="1646012051">
    <w:abstractNumId w:val="21"/>
  </w:num>
  <w:num w:numId="19" w16cid:durableId="303200877">
    <w:abstractNumId w:val="2"/>
  </w:num>
  <w:num w:numId="20" w16cid:durableId="99960293">
    <w:abstractNumId w:val="12"/>
  </w:num>
  <w:num w:numId="21" w16cid:durableId="465392457">
    <w:abstractNumId w:val="23"/>
  </w:num>
  <w:num w:numId="22" w16cid:durableId="1412653860">
    <w:abstractNumId w:val="8"/>
  </w:num>
  <w:num w:numId="23" w16cid:durableId="478038770">
    <w:abstractNumId w:val="20"/>
  </w:num>
  <w:num w:numId="24" w16cid:durableId="2092190429">
    <w:abstractNumId w:val="9"/>
  </w:num>
  <w:num w:numId="25" w16cid:durableId="1380668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4D"/>
    <w:rsid w:val="00005E2A"/>
    <w:rsid w:val="00007761"/>
    <w:rsid w:val="00022E94"/>
    <w:rsid w:val="0002387D"/>
    <w:rsid w:val="00043306"/>
    <w:rsid w:val="000B5CE3"/>
    <w:rsid w:val="000C5EC2"/>
    <w:rsid w:val="00147F92"/>
    <w:rsid w:val="00157649"/>
    <w:rsid w:val="001C2EAD"/>
    <w:rsid w:val="001E0CC8"/>
    <w:rsid w:val="00215675"/>
    <w:rsid w:val="00245205"/>
    <w:rsid w:val="00246591"/>
    <w:rsid w:val="00342367"/>
    <w:rsid w:val="0037234E"/>
    <w:rsid w:val="0038046E"/>
    <w:rsid w:val="00381E6D"/>
    <w:rsid w:val="003837E6"/>
    <w:rsid w:val="00395474"/>
    <w:rsid w:val="003E1007"/>
    <w:rsid w:val="00417419"/>
    <w:rsid w:val="004175A5"/>
    <w:rsid w:val="00452A3B"/>
    <w:rsid w:val="004817A0"/>
    <w:rsid w:val="004A2DAB"/>
    <w:rsid w:val="004A3579"/>
    <w:rsid w:val="00507091"/>
    <w:rsid w:val="00544056"/>
    <w:rsid w:val="00576F8C"/>
    <w:rsid w:val="00594604"/>
    <w:rsid w:val="00594E5D"/>
    <w:rsid w:val="005B6B92"/>
    <w:rsid w:val="005D2D17"/>
    <w:rsid w:val="005F6D4D"/>
    <w:rsid w:val="00621D14"/>
    <w:rsid w:val="006328C3"/>
    <w:rsid w:val="006348AA"/>
    <w:rsid w:val="006C1264"/>
    <w:rsid w:val="0079710F"/>
    <w:rsid w:val="007A5E62"/>
    <w:rsid w:val="007C3DE0"/>
    <w:rsid w:val="007F0FDB"/>
    <w:rsid w:val="0080627A"/>
    <w:rsid w:val="00840693"/>
    <w:rsid w:val="008471DD"/>
    <w:rsid w:val="008525EE"/>
    <w:rsid w:val="00866B2D"/>
    <w:rsid w:val="00890A6F"/>
    <w:rsid w:val="00893DB8"/>
    <w:rsid w:val="008C539E"/>
    <w:rsid w:val="008D49AF"/>
    <w:rsid w:val="008E33EB"/>
    <w:rsid w:val="008E3A37"/>
    <w:rsid w:val="008F73BE"/>
    <w:rsid w:val="00906D8A"/>
    <w:rsid w:val="00932311"/>
    <w:rsid w:val="00974A20"/>
    <w:rsid w:val="0097569A"/>
    <w:rsid w:val="00A25CE5"/>
    <w:rsid w:val="00A46A43"/>
    <w:rsid w:val="00A52245"/>
    <w:rsid w:val="00A524FD"/>
    <w:rsid w:val="00A533B5"/>
    <w:rsid w:val="00A858C2"/>
    <w:rsid w:val="00B5340F"/>
    <w:rsid w:val="00B6581A"/>
    <w:rsid w:val="00BA60E6"/>
    <w:rsid w:val="00BB4B70"/>
    <w:rsid w:val="00BB5130"/>
    <w:rsid w:val="00BD574D"/>
    <w:rsid w:val="00C0464B"/>
    <w:rsid w:val="00C2043A"/>
    <w:rsid w:val="00C27DCC"/>
    <w:rsid w:val="00CA3952"/>
    <w:rsid w:val="00CE0D78"/>
    <w:rsid w:val="00CE27A4"/>
    <w:rsid w:val="00CF63EE"/>
    <w:rsid w:val="00D00622"/>
    <w:rsid w:val="00D0137E"/>
    <w:rsid w:val="00D04206"/>
    <w:rsid w:val="00D13C97"/>
    <w:rsid w:val="00DD3ECE"/>
    <w:rsid w:val="00DF4FEF"/>
    <w:rsid w:val="00E117BA"/>
    <w:rsid w:val="00E2049F"/>
    <w:rsid w:val="00E40F4C"/>
    <w:rsid w:val="00E65A2D"/>
    <w:rsid w:val="00F014A8"/>
    <w:rsid w:val="00F2181E"/>
    <w:rsid w:val="00F57282"/>
    <w:rsid w:val="00FA7BBC"/>
    <w:rsid w:val="00FF4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0200"/>
  <w15:chartTrackingRefBased/>
  <w15:docId w15:val="{9F40480E-1361-45F8-8F47-8EA6F5F6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A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02387D"/>
    <w:rPr>
      <w:i/>
      <w:iCs/>
    </w:rPr>
  </w:style>
  <w:style w:type="paragraph" w:styleId="KeinLeerraum">
    <w:name w:val="No Spacing"/>
    <w:uiPriority w:val="1"/>
    <w:qFormat/>
    <w:rsid w:val="0002387D"/>
    <w:pPr>
      <w:tabs>
        <w:tab w:val="left" w:pos="454"/>
      </w:tabs>
    </w:pPr>
    <w:rPr>
      <w:rFonts w:cstheme="minorBidi"/>
      <w:noProof/>
      <w:szCs w:val="22"/>
    </w:rPr>
  </w:style>
  <w:style w:type="paragraph" w:styleId="Listenabsatz">
    <w:name w:val="List Paragraph"/>
    <w:basedOn w:val="Standard"/>
    <w:uiPriority w:val="34"/>
    <w:qFormat/>
    <w:rsid w:val="0093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4437</Words>
  <Characters>27956</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cp:lastPrinted>2024-11-22T16:39:00Z</cp:lastPrinted>
  <dcterms:created xsi:type="dcterms:W3CDTF">2024-12-15T14:12:00Z</dcterms:created>
  <dcterms:modified xsi:type="dcterms:W3CDTF">2024-12-15T14:12:00Z</dcterms:modified>
</cp:coreProperties>
</file>